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le"/>
        <w:rPr>
          <w:color w:val="000000"/>
          <w:szCs w:val="16"/>
        </w:rPr>
      </w:pPr>
      <w:bookmarkStart w:id="0" w:name="_DV_M0"/>
      <w:bookmarkEnd w:id="0"/>
      <w:r>
        <w:rPr>
          <w:szCs w:val="16"/>
        </w:rPr>
        <w:tab/>
      </w:r>
      <w:r>
        <w:rPr>
          <w:szCs w:val="16"/>
        </w:rPr>
        <w:tab/>
      </w:r>
      <w:r>
        <w:rPr>
          <w:szCs w:val="16"/>
        </w:rPr>
        <w:tab/>
      </w:r>
      <w:r>
        <w:rPr>
          <w:rFonts w:ascii="Courier New" w:hAnsi="Courier New"/>
          <w:b w:val="0"/>
          <w:noProof/>
          <w:sz w:val="20"/>
        </w:rPr>
        <mc:AlternateContent>
          <mc:Choice Requires="wps">
            <w:drawing>
              <wp:anchor distT="0" distB="0" distL="114300" distR="114300" simplePos="0" relativeHeight="251659264" behindDoc="1" locked="0" layoutInCell="1" allowOverlap="1">
                <wp:simplePos x="0" y="0"/>
                <wp:positionH relativeFrom="margin">
                  <wp:posOffset>0</wp:posOffset>
                </wp:positionH>
                <wp:positionV relativeFrom="page">
                  <wp:posOffset>914400</wp:posOffset>
                </wp:positionV>
                <wp:extent cx="6108192" cy="1581912"/>
                <wp:effectExtent l="0" t="0" r="26035" b="1841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192" cy="1581912"/>
                        </a:xfrm>
                        <a:prstGeom prst="rect">
                          <a:avLst/>
                        </a:prstGeom>
                        <a:solidFill>
                          <a:srgbClr val="FFFFFF"/>
                        </a:solidFill>
                        <a:ln w="9525">
                          <a:solidFill>
                            <a:srgbClr val="000000"/>
                          </a:solidFill>
                          <a:miter lim="800000"/>
                          <a:headEnd/>
                          <a:tailEnd/>
                        </a:ln>
                      </wps:spPr>
                      <wps:txbx>
                        <w:txbxContent>
                          <w:p>
                            <w:pPr>
                              <w:rPr>
                                <w:rFonts w:ascii="Calibri" w:hAnsi="Calibri"/>
                                <w:color w:val="FF0000"/>
                                <w:sz w:val="22"/>
                                <w:szCs w:val="22"/>
                              </w:rPr>
                            </w:pPr>
                            <w:r>
                              <w:rPr>
                                <w:rFonts w:ascii="Calibri" w:hAnsi="Calibri"/>
                                <w:color w:val="FF0000"/>
                                <w:sz w:val="22"/>
                                <w:szCs w:val="22"/>
                              </w:rPr>
                              <w:t xml:space="preserve">DISCLAIMER: This document is provided by Wendt CRS, Inc. as a complimentary service and </w:t>
                            </w:r>
                            <w:r>
                              <w:rPr>
                                <w:rFonts w:ascii="Calibri" w:hAnsi="Calibri"/>
                                <w:smallCaps/>
                                <w:color w:val="FF0000"/>
                                <w:sz w:val="22"/>
                                <w:szCs w:val="22"/>
                                <w:u w:val="single"/>
                              </w:rPr>
                              <w:t>as an educational tool only</w:t>
                            </w:r>
                            <w:r>
                              <w:rPr>
                                <w:rFonts w:ascii="Calibri" w:hAnsi="Calibri"/>
                                <w:color w:val="FF0000"/>
                                <w:sz w:val="22"/>
                                <w:szCs w:val="22"/>
                              </w:rPr>
                              <w:t xml:space="preserve"> to visitors and guests of our website.  We make no representations as to the accuracy or completeness of this document. We are not attorneys nor licensed to advise you on the law or prepare legal forms for you. This document is not a substitute for legal or tax advice. Anyone contemplating the purchase or sale of a real estate investment should seek the services of competent legal and tax advisors. By choosing to use this document or any other downloads from Wendt CRS, Inc., you hereby agree to hold Wendt CRS, Inc. and any of its agents or employees harmless for any damage, loss or injury that you incur.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1in;width:480.95pt;height:124.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">
                <v:textbox>
                  <w:txbxContent>
                    <w:p>
                      <w:pPr>
                        <w:rPr>
                          <w:rFonts w:ascii="Calibri" w:hAnsi="Calibri"/>
                          <w:color w:val="FF0000"/>
                          <w:sz w:val="22"/>
                          <w:szCs w:val="22"/>
                        </w:rPr>
                      </w:pPr>
                      <w:r>
                        <w:rPr>
                          <w:rFonts w:ascii="Calibri" w:hAnsi="Calibri"/>
                          <w:color w:val="FF0000"/>
                          <w:sz w:val="22"/>
                          <w:szCs w:val="22"/>
                        </w:rPr>
                        <w:t xml:space="preserve">DISCLAIMER: This document is provided by Wendt CRS, Inc. as a complimentary service and </w:t>
                      </w:r>
                      <w:r>
                        <w:rPr>
                          <w:rFonts w:ascii="Calibri" w:hAnsi="Calibri"/>
                          <w:smallCaps/>
                          <w:color w:val="FF0000"/>
                          <w:sz w:val="22"/>
                          <w:szCs w:val="22"/>
                          <w:u w:val="single"/>
                        </w:rPr>
                        <w:t>as an educational tool only</w:t>
                      </w:r>
                      <w:r>
                        <w:rPr>
                          <w:rFonts w:ascii="Calibri" w:hAnsi="Calibri"/>
                          <w:color w:val="FF0000"/>
                          <w:sz w:val="22"/>
                          <w:szCs w:val="22"/>
                        </w:rPr>
                        <w:t xml:space="preserve"> to visitors and guests of our website.  We make no representations as to the accuracy or completeness of this document. We are not attorneys nor licensed to advise you on the law or prepare legal forms for you. This document is not a substitute for legal or tax advice. Anyone contemplating the purchase or sale of a real estate investment should seek the services of competent legal and tax advisors. By choosing to use this document or any other downloads from Wendt CRS, Inc., you hereby agree to hold Wendt CRS, Inc. and any of its agents or employees harmless for any damage, loss or injury that you incur.</w:t>
                      </w:r>
                    </w:p>
                  </w:txbxContent>
                </v:textbox>
                <w10:wrap anchorx="margin" anchory="page"/>
              </v:shape>
            </w:pict>
          </mc:Fallback>
        </mc:AlternateContent>
      </w:r>
      <w:r>
        <w:rPr>
          <w:szCs w:val="16"/>
        </w:rPr>
        <w:tab/>
      </w:r>
      <w:r>
        <w:rPr>
          <w:szCs w:val="16"/>
        </w:rPr>
        <w:tab/>
      </w:r>
      <w:r>
        <w:rPr>
          <w:szCs w:val="16"/>
        </w:rPr>
        <w:tab/>
      </w:r>
      <w:r>
        <w:rPr>
          <w:szCs w:val="16"/>
        </w:rPr>
        <w:tab/>
      </w:r>
      <w:r>
        <w:rPr>
          <w:szCs w:val="16"/>
        </w:rPr>
        <w:tab/>
      </w:r>
    </w:p>
    <w:p>
      <w:pPr>
        <w:pStyle w:val="Title"/>
        <w:rPr>
          <w:color w:val="000000"/>
          <w:szCs w:val="16"/>
        </w:rPr>
      </w:pPr>
    </w:p>
    <w:p>
      <w:pPr>
        <w:pStyle w:val="Title"/>
        <w:rPr>
          <w:color w:val="000000"/>
          <w:szCs w:val="16"/>
        </w:rPr>
      </w:pPr>
    </w:p>
    <w:p>
      <w:pPr>
        <w:pStyle w:val="Title"/>
        <w:rPr>
          <w:color w:val="000000"/>
          <w:szCs w:val="16"/>
        </w:rPr>
      </w:pPr>
    </w:p>
    <w:p>
      <w:pPr>
        <w:pStyle w:val="Title"/>
        <w:rPr>
          <w:color w:val="000000"/>
          <w:szCs w:val="16"/>
        </w:rPr>
      </w:pPr>
    </w:p>
    <w:p>
      <w:pPr>
        <w:pStyle w:val="Title"/>
        <w:rPr>
          <w:color w:val="000000"/>
          <w:szCs w:val="16"/>
        </w:rPr>
      </w:pPr>
    </w:p>
    <w:p>
      <w:pPr>
        <w:pStyle w:val="Title"/>
        <w:rPr>
          <w:color w:val="000000"/>
          <w:szCs w:val="16"/>
        </w:rPr>
      </w:pPr>
    </w:p>
    <w:p>
      <w:pPr>
        <w:pStyle w:val="Title"/>
        <w:rPr>
          <w:color w:val="000000"/>
          <w:szCs w:val="16"/>
        </w:rPr>
      </w:pPr>
    </w:p>
    <w:p>
      <w:pPr>
        <w:pStyle w:val="Title"/>
        <w:rPr>
          <w:rFonts w:ascii="Century Gothic" w:hAnsi="Century Gothic"/>
          <w:color w:val="000000"/>
          <w:szCs w:val="16"/>
        </w:rPr>
      </w:pPr>
      <w:bookmarkStart w:id="1" w:name="_DV_M1"/>
      <w:bookmarkEnd w:id="1"/>
    </w:p>
    <w:p>
      <w:pPr>
        <w:pStyle w:val="Title"/>
        <w:rPr>
          <w:rFonts w:ascii="Century Gothic" w:hAnsi="Century Gothic"/>
          <w:color w:val="000000"/>
          <w:szCs w:val="16"/>
        </w:rPr>
      </w:pPr>
    </w:p>
    <w:p>
      <w:pPr>
        <w:jc w:val="center"/>
        <w:rPr>
          <w:rFonts w:ascii="Century Gothic" w:hAnsi="Century Gothic"/>
          <w:sz w:val="16"/>
          <w:szCs w:val="16"/>
        </w:rPr>
      </w:pPr>
      <w:r>
        <w:rPr>
          <w:rFonts w:ascii="Century Gothic" w:hAnsi="Century Gothic"/>
          <w:sz w:val="16"/>
          <w:szCs w:val="16"/>
        </w:rPr>
        <w:t xml:space="preserve">[LEAVE THIS PART BLANK AND AVAILABLE FOR INK STAMPS.    About ¼ </w:t>
      </w:r>
      <w:proofErr w:type="gramStart"/>
      <w:r>
        <w:rPr>
          <w:rFonts w:ascii="Century Gothic" w:hAnsi="Century Gothic"/>
          <w:sz w:val="16"/>
          <w:szCs w:val="16"/>
        </w:rPr>
        <w:t>page  ]</w:t>
      </w:r>
      <w:proofErr w:type="gramEnd"/>
    </w:p>
    <w:p>
      <w:pPr>
        <w:rPr>
          <w:rFonts w:ascii="Century Gothic" w:hAnsi="Century Gothic"/>
          <w:sz w:val="16"/>
          <w:szCs w:val="16"/>
        </w:rPr>
      </w:pPr>
    </w:p>
    <w:p>
      <w:pPr>
        <w:rPr>
          <w:rFonts w:ascii="Century Gothic" w:hAnsi="Century Gothic"/>
          <w:sz w:val="16"/>
          <w:szCs w:val="16"/>
        </w:rPr>
      </w:pPr>
    </w:p>
    <w:p>
      <w:pPr>
        <w:rPr>
          <w:rFonts w:ascii="Century Gothic" w:hAnsi="Century Gothic"/>
          <w:sz w:val="16"/>
          <w:szCs w:val="16"/>
        </w:rPr>
      </w:pPr>
      <w:bookmarkStart w:id="2" w:name="_GoBack"/>
      <w:r>
        <w:rPr>
          <w:rFonts w:ascii="Century Gothic" w:hAnsi="Century Gothic"/>
          <w:noProof/>
          <w:sz w:val="16"/>
          <w:szCs w:val="16"/>
        </w:rPr>
        <mc:AlternateContent>
          <mc:Choice Requires="wps">
            <w:drawing>
              <wp:anchor distT="0" distB="0" distL="114300" distR="114300" simplePos="0" relativeHeight="251661312" behindDoc="0" locked="0" layoutInCell="1" allowOverlap="1">
                <wp:simplePos x="0" y="0"/>
                <wp:positionH relativeFrom="column">
                  <wp:posOffset>184785</wp:posOffset>
                </wp:positionH>
                <wp:positionV relativeFrom="page">
                  <wp:posOffset>3171825</wp:posOffset>
                </wp:positionV>
                <wp:extent cx="5925312" cy="18288"/>
                <wp:effectExtent l="0" t="0" r="37465" b="20320"/>
                <wp:wrapNone/>
                <wp:docPr id="2" name="Straight Connector 2"/>
                <wp:cNvGraphicFramePr/>
                <a:graphic xmlns:a="http://schemas.openxmlformats.org/drawingml/2006/main">
                  <a:graphicData uri="http://schemas.microsoft.com/office/word/2010/wordprocessingShape">
                    <wps:wsp>
                      <wps:cNvCnPr/>
                      <wps:spPr>
                        <a:xfrm>
                          <a:off x="0" y="0"/>
                          <a:ext cx="5925312" cy="1828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4.55pt,249.75pt" to="481.1pt,2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" strokecolor="windowText" strokeweight=".5pt">
                <v:stroke joinstyle="miter"/>
                <w10:wrap anchory="page"/>
              </v:line>
            </w:pict>
          </mc:Fallback>
        </mc:AlternateContent>
      </w:r>
      <w:bookmarkEnd w:id="2"/>
    </w:p>
    <w:p>
      <w:pPr>
        <w:jc w:val="center"/>
        <w:rPr>
          <w:rFonts w:ascii="Century Gothic" w:hAnsi="Century Gothic"/>
          <w:sz w:val="16"/>
          <w:szCs w:val="16"/>
        </w:rPr>
      </w:pPr>
      <w:r>
        <w:rPr>
          <w:rFonts w:ascii="Century Gothic" w:hAnsi="Century Gothic"/>
          <w:sz w:val="16"/>
          <w:szCs w:val="16"/>
        </w:rPr>
        <w:t>Space above reserved for Recorder’s Use Only</w:t>
      </w:r>
    </w:p>
    <w:p>
      <w:pPr>
        <w:rPr>
          <w:rFonts w:ascii="Century Gothic" w:hAnsi="Century Gothic"/>
          <w:sz w:val="16"/>
          <w:szCs w:val="16"/>
        </w:rPr>
      </w:pPr>
    </w:p>
    <w:p>
      <w:pPr>
        <w:rPr>
          <w:rFonts w:ascii="Century Gothic" w:hAnsi="Century Gothic"/>
          <w:sz w:val="16"/>
          <w:szCs w:val="16"/>
          <w:u w:val="single"/>
        </w:rPr>
      </w:pPr>
      <w:r>
        <w:rPr>
          <w:rFonts w:ascii="Century Gothic" w:hAnsi="Century Gothic"/>
          <w:sz w:val="16"/>
          <w:szCs w:val="16"/>
          <w:u w:val="single"/>
        </w:rPr>
        <w:t>After recording return to:</w:t>
      </w:r>
    </w:p>
    <w:p>
      <w:pPr>
        <w:rPr>
          <w:rFonts w:ascii="Century Gothic" w:hAnsi="Century Gothic"/>
          <w:lang w:eastAsia="ko-KR"/>
        </w:rPr>
      </w:pPr>
      <w:r>
        <w:rPr>
          <w:rFonts w:ascii="Century Gothic" w:hAnsi="Century Gothic"/>
          <w:lang w:eastAsia="ko-KR"/>
        </w:rPr>
        <w:t>Name of Grantee (or Grantee’s counsel)</w:t>
      </w:r>
    </w:p>
    <w:p>
      <w:pPr>
        <w:rPr>
          <w:rFonts w:ascii="Century Gothic" w:hAnsi="Century Gothic"/>
          <w:lang w:eastAsia="ko-KR"/>
        </w:rPr>
      </w:pPr>
      <w:r>
        <w:rPr>
          <w:rFonts w:ascii="Century Gothic" w:hAnsi="Century Gothic"/>
          <w:lang w:eastAsia="ko-KR"/>
        </w:rPr>
        <w:t>Address 1</w:t>
      </w:r>
    </w:p>
    <w:p>
      <w:pPr>
        <w:rPr>
          <w:rFonts w:ascii="Century Gothic" w:hAnsi="Century Gothic"/>
          <w:lang w:eastAsia="ko-KR"/>
        </w:rPr>
      </w:pPr>
      <w:r>
        <w:rPr>
          <w:rFonts w:ascii="Century Gothic" w:hAnsi="Century Gothic"/>
          <w:lang w:eastAsia="ko-KR"/>
        </w:rPr>
        <w:t xml:space="preserve">Address 2 </w:t>
      </w:r>
    </w:p>
    <w:p>
      <w:pPr>
        <w:widowControl w:val="0"/>
        <w:jc w:val="left"/>
        <w:rPr>
          <w:rFonts w:ascii="Courier New" w:hAnsi="Courier New"/>
          <w:sz w:val="20"/>
        </w:rPr>
      </w:pPr>
    </w:p>
    <w:p>
      <w:pPr>
        <w:pStyle w:val="Heading2"/>
        <w:numPr>
          <w:ilvl w:val="0"/>
          <w:numId w:val="0"/>
        </w:numPr>
        <w:ind w:left="720"/>
        <w:rPr>
          <w:rFonts w:ascii="Century Gothic" w:hAnsi="Century Gothic"/>
        </w:rPr>
      </w:pPr>
    </w:p>
    <w:p>
      <w:pPr>
        <w:pStyle w:val="Heading2"/>
        <w:numPr>
          <w:ilvl w:val="0"/>
          <w:numId w:val="0"/>
        </w:numPr>
        <w:ind w:left="720"/>
        <w:jc w:val="center"/>
        <w:rPr>
          <w:rFonts w:ascii="Century Gothic" w:hAnsi="Century Gothic"/>
        </w:rPr>
      </w:pPr>
      <w:r>
        <w:rPr>
          <w:rFonts w:ascii="Century Gothic" w:hAnsi="Century Gothic"/>
        </w:rPr>
        <w:t>GENERAL WARRANTY DEED</w:t>
      </w:r>
    </w:p>
    <w:p>
      <w:pPr>
        <w:jc w:val="center"/>
        <w:rPr>
          <w:rFonts w:ascii="Century Gothic" w:hAnsi="Century Gothic"/>
          <w:b/>
          <w:sz w:val="16"/>
        </w:rPr>
      </w:pPr>
    </w:p>
    <w:p>
      <w:pPr>
        <w:rPr>
          <w:rFonts w:ascii="Century Gothic" w:hAnsi="Century Gothic"/>
          <w:b/>
        </w:rPr>
      </w:pPr>
      <w:r>
        <w:rPr>
          <w:rFonts w:ascii="Century Gothic" w:hAnsi="Century Gothic"/>
          <w:b/>
        </w:rPr>
        <w:t>STATE OF __________</w:t>
      </w:r>
      <w:proofErr w:type="gramStart"/>
      <w:r>
        <w:rPr>
          <w:rFonts w:ascii="Century Gothic" w:hAnsi="Century Gothic"/>
          <w:b/>
        </w:rPr>
        <w:t xml:space="preserve">_ </w:t>
      </w:r>
      <w:r>
        <w:rPr>
          <w:rFonts w:ascii="Century Gothic" w:hAnsi="Century Gothic"/>
          <w:b/>
        </w:rPr>
        <w:tab/>
      </w:r>
      <w:r>
        <w:rPr>
          <w:rFonts w:ascii="Century Gothic" w:hAnsi="Century Gothic"/>
          <w:b/>
        </w:rPr>
        <w:tab/>
        <w:t xml:space="preserve">         </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COUNTY</w:t>
      </w:r>
      <w:proofErr w:type="gramEnd"/>
      <w:r>
        <w:rPr>
          <w:rFonts w:ascii="Century Gothic" w:hAnsi="Century Gothic"/>
          <w:b/>
        </w:rPr>
        <w:t xml:space="preserve"> OF ___________ </w:t>
      </w:r>
    </w:p>
    <w:p>
      <w:pPr>
        <w:rPr>
          <w:rFonts w:ascii="Century Gothic" w:hAnsi="Century Gothic"/>
        </w:rPr>
      </w:pPr>
    </w:p>
    <w:p>
      <w:pPr>
        <w:ind w:firstLine="720"/>
        <w:rPr>
          <w:rFonts w:ascii="Century Gothic" w:hAnsi="Century Gothic"/>
        </w:rPr>
      </w:pPr>
      <w:r>
        <w:rPr>
          <w:rFonts w:ascii="Century Gothic" w:hAnsi="Century Gothic"/>
          <w:b/>
        </w:rPr>
        <w:t>THIS INDENTURE,</w:t>
      </w:r>
      <w:r>
        <w:rPr>
          <w:rFonts w:ascii="Century Gothic" w:hAnsi="Century Gothic"/>
        </w:rPr>
        <w:t xml:space="preserve"> made the </w:t>
      </w:r>
      <w:r>
        <w:rPr>
          <w:rFonts w:ascii="Century Gothic" w:hAnsi="Century Gothic"/>
          <w:lang w:eastAsia="ko-KR"/>
        </w:rPr>
        <w:t>____</w:t>
      </w:r>
      <w:r>
        <w:rPr>
          <w:rFonts w:ascii="Century Gothic" w:hAnsi="Century Gothic"/>
        </w:rPr>
        <w:t xml:space="preserve"> day of _______________ in the year Two-Thousand and ________ (20__), between </w:t>
      </w:r>
      <w:r>
        <w:rPr>
          <w:rFonts w:ascii="Century Gothic" w:hAnsi="Century Gothic"/>
          <w:lang w:eastAsia="ko-KR"/>
        </w:rPr>
        <w:t>__________________</w:t>
      </w:r>
      <w:r>
        <w:rPr>
          <w:rFonts w:ascii="Century Gothic" w:hAnsi="Century Gothic"/>
        </w:rPr>
        <w:t>, as party or parties of the first part, hereinafter called Grantor, _________________, as party or parties of the second part, hereinafter called Grantee (the words “Grantor” and “Grantee” to include their respective heirs, successors and assigns where the context requires or permits).</w:t>
      </w:r>
    </w:p>
    <w:p>
      <w:pPr>
        <w:ind w:firstLine="720"/>
        <w:rPr>
          <w:rFonts w:ascii="Century Gothic" w:hAnsi="Century Gothic"/>
        </w:rPr>
      </w:pPr>
    </w:p>
    <w:p>
      <w:pPr>
        <w:ind w:firstLine="720"/>
        <w:rPr>
          <w:rFonts w:ascii="Century Gothic" w:hAnsi="Century Gothic"/>
        </w:rPr>
      </w:pPr>
      <w:r>
        <w:rPr>
          <w:rFonts w:ascii="Century Gothic" w:hAnsi="Century Gothic"/>
          <w:b/>
        </w:rPr>
        <w:t>WITNESSETH</w:t>
      </w:r>
      <w:r>
        <w:rPr>
          <w:rFonts w:ascii="Century Gothic" w:hAnsi="Century Gothic"/>
        </w:rPr>
        <w:t xml:space="preserve"> that: Grantor, for and in consideration of the sum of Ten &amp; 00/100 dollars ($10.00) and other valuable considerations in hand paid at and before the sealing and delivery of these presents, the receipt whereof is hereby acknowledged, has granted bargained, sold, aliened, conveyed and confirmed, and by these presents does grant, bargain, sell, alien, convey and confirm unto the said Grantee,</w:t>
      </w:r>
    </w:p>
    <w:p>
      <w:pPr>
        <w:rPr>
          <w:rFonts w:ascii="Century Gothic" w:hAnsi="Century Gothic"/>
        </w:rPr>
      </w:pPr>
    </w:p>
    <w:p>
      <w:pPr>
        <w:rPr>
          <w:rFonts w:ascii="Century Gothic" w:hAnsi="Century Gothic"/>
          <w:caps/>
          <w:lang w:eastAsia="ko-KR"/>
        </w:rPr>
      </w:pPr>
      <w:r>
        <w:rPr>
          <w:rFonts w:ascii="Century Gothic" w:hAnsi="Century Gothic"/>
          <w:caps/>
        </w:rPr>
        <w:t>ALL THAT TRACT or parcel of land lying and being in Land LOTS…..    (LEGAL dESCRIPTION HERE)</w:t>
      </w:r>
    </w:p>
    <w:p>
      <w:pPr>
        <w:rPr>
          <w:rFonts w:ascii="Century Gothic" w:hAnsi="Century Gothic"/>
        </w:rPr>
      </w:pPr>
    </w:p>
    <w:p>
      <w:pPr>
        <w:rPr>
          <w:rFonts w:ascii="Century Gothic" w:hAnsi="Century Gothic"/>
        </w:rPr>
      </w:pPr>
      <w:r>
        <w:rPr>
          <w:rFonts w:ascii="Century Gothic" w:hAnsi="Century Gothic"/>
        </w:rPr>
        <w:t xml:space="preserve">Property Address:  </w:t>
      </w:r>
    </w:p>
    <w:p>
      <w:pPr>
        <w:rPr>
          <w:rFonts w:ascii="Century Gothic" w:hAnsi="Century Gothic"/>
        </w:rPr>
      </w:pPr>
      <w:r>
        <w:rPr>
          <w:rFonts w:ascii="Century Gothic" w:hAnsi="Century Gothic"/>
        </w:rPr>
        <w:t xml:space="preserve">Parcel Number:  </w:t>
      </w:r>
    </w:p>
    <w:p>
      <w:pPr>
        <w:rPr>
          <w:rFonts w:ascii="Century Gothic" w:hAnsi="Century Gothic"/>
          <w:caps/>
          <w:lang w:eastAsia="ko-KR"/>
        </w:rPr>
      </w:pPr>
    </w:p>
    <w:p>
      <w:pPr>
        <w:rPr>
          <w:rFonts w:ascii="Century Gothic" w:hAnsi="Century Gothic"/>
        </w:rPr>
      </w:pPr>
      <w:r>
        <w:rPr>
          <w:rFonts w:ascii="Century Gothic" w:hAnsi="Century Gothic"/>
        </w:rPr>
        <w:tab/>
      </w:r>
      <w:r>
        <w:rPr>
          <w:rFonts w:ascii="Century Gothic" w:hAnsi="Century Gothic"/>
          <w:b/>
        </w:rPr>
        <w:t>TO HAVE AND TO HOLD</w:t>
      </w:r>
      <w:r>
        <w:rPr>
          <w:rFonts w:ascii="Century Gothic" w:hAnsi="Century Gothic"/>
        </w:rPr>
        <w:t xml:space="preserve"> the said tract or parcel of land, with all and singular the rights, members and appurtenances thereof, to the same being, belonging or in anywise appertaining, to the only proper use, benefit and </w:t>
      </w:r>
      <w:proofErr w:type="spellStart"/>
      <w:r>
        <w:rPr>
          <w:rFonts w:ascii="Century Gothic" w:hAnsi="Century Gothic"/>
        </w:rPr>
        <w:t>behoof</w:t>
      </w:r>
      <w:proofErr w:type="spellEnd"/>
      <w:r>
        <w:rPr>
          <w:rFonts w:ascii="Century Gothic" w:hAnsi="Century Gothic"/>
        </w:rPr>
        <w:t xml:space="preserve"> of the said Grantee forever in </w:t>
      </w:r>
      <w:r>
        <w:rPr>
          <w:rFonts w:ascii="Century Gothic" w:hAnsi="Century Gothic"/>
          <w:b/>
        </w:rPr>
        <w:t>FEE SIMPLE</w:t>
      </w:r>
      <w:r>
        <w:rPr>
          <w:rFonts w:ascii="Century Gothic" w:hAnsi="Century Gothic"/>
        </w:rPr>
        <w:t>.</w:t>
      </w:r>
    </w:p>
    <w:p>
      <w:pPr>
        <w:rPr>
          <w:rFonts w:ascii="Century Gothic" w:hAnsi="Century Gothic"/>
        </w:rPr>
      </w:pPr>
    </w:p>
    <w:p>
      <w:pPr>
        <w:rPr>
          <w:rFonts w:ascii="Century Gothic" w:hAnsi="Century Gothic"/>
        </w:rPr>
      </w:pPr>
      <w:r>
        <w:rPr>
          <w:rFonts w:ascii="Century Gothic" w:hAnsi="Century Gothic"/>
        </w:rPr>
        <w:tab/>
      </w:r>
      <w:r>
        <w:rPr>
          <w:rFonts w:ascii="Century Gothic" w:hAnsi="Century Gothic"/>
          <w:b/>
        </w:rPr>
        <w:t>AND THE SAID</w:t>
      </w:r>
      <w:r>
        <w:rPr>
          <w:rFonts w:ascii="Century Gothic" w:hAnsi="Century Gothic"/>
        </w:rPr>
        <w:t xml:space="preserve"> Grantor will warrant and forever defend the right and title to the above described property unto the said Grantee against the claims of all persons whomsoever.</w:t>
      </w:r>
    </w:p>
    <w:p>
      <w:pPr>
        <w:rPr>
          <w:rFonts w:ascii="Century Gothic" w:hAnsi="Century Gothic"/>
        </w:rPr>
      </w:pPr>
    </w:p>
    <w:p>
      <w:pPr>
        <w:rPr>
          <w:rFonts w:ascii="Century Gothic" w:hAnsi="Century Gothic"/>
        </w:rPr>
      </w:pPr>
      <w:r>
        <w:rPr>
          <w:rFonts w:ascii="Century Gothic" w:hAnsi="Century Gothic"/>
        </w:rPr>
        <w:t xml:space="preserve"> </w:t>
      </w:r>
      <w:r>
        <w:rPr>
          <w:rFonts w:ascii="Century Gothic" w:hAnsi="Century Gothic"/>
        </w:rPr>
        <w:tab/>
      </w:r>
      <w:r>
        <w:rPr>
          <w:rFonts w:ascii="Century Gothic" w:hAnsi="Century Gothic"/>
          <w:b/>
        </w:rPr>
        <w:t>IN WITNESS WHEREOF</w:t>
      </w:r>
      <w:r>
        <w:rPr>
          <w:rFonts w:ascii="Century Gothic" w:hAnsi="Century Gothic"/>
        </w:rPr>
        <w:t>, the Grantor has signed and sealed this deed, the day and year above written.</w:t>
      </w:r>
    </w:p>
    <w:p>
      <w:pPr>
        <w:rPr>
          <w:rFonts w:ascii="Century Gothic" w:hAnsi="Century Gothic"/>
          <w:lang w:eastAsia="ko-KR"/>
        </w:rPr>
      </w:pPr>
      <w:r>
        <w:rPr>
          <w:rFonts w:ascii="Century Gothic" w:hAnsi="Century Gothic"/>
          <w:lang w:eastAsia="ko-KR"/>
        </w:rPr>
        <w:tab/>
      </w:r>
      <w:r>
        <w:rPr>
          <w:rFonts w:ascii="Century Gothic" w:hAnsi="Century Gothic"/>
          <w:lang w:eastAsia="ko-KR"/>
        </w:rPr>
        <w:tab/>
      </w:r>
      <w:r>
        <w:rPr>
          <w:rFonts w:ascii="Century Gothic" w:hAnsi="Century Gothic"/>
          <w:lang w:eastAsia="ko-KR"/>
        </w:rPr>
        <w:tab/>
      </w:r>
      <w:r>
        <w:rPr>
          <w:rFonts w:ascii="Century Gothic" w:hAnsi="Century Gothic"/>
          <w:lang w:eastAsia="ko-KR"/>
        </w:rPr>
        <w:tab/>
      </w:r>
      <w:r>
        <w:rPr>
          <w:rFonts w:ascii="Century Gothic" w:hAnsi="Century Gothic"/>
          <w:lang w:eastAsia="ko-KR"/>
        </w:rPr>
        <w:tab/>
      </w:r>
      <w:r>
        <w:rPr>
          <w:rFonts w:ascii="Century Gothic" w:hAnsi="Century Gothic"/>
          <w:lang w:eastAsia="ko-KR"/>
        </w:rPr>
        <w:tab/>
      </w:r>
    </w:p>
    <w:p>
      <w:pPr>
        <w:rPr>
          <w:rFonts w:ascii="Century Gothic" w:hAnsi="Century Gothic"/>
          <w:lang w:eastAsia="ko-KR"/>
        </w:rPr>
      </w:pPr>
      <w:r>
        <w:rPr>
          <w:rFonts w:ascii="Century Gothic" w:hAnsi="Century Gothic"/>
        </w:rPr>
        <w:t>Signed, sealed and delivered</w:t>
      </w:r>
      <w:r>
        <w:rPr>
          <w:rFonts w:ascii="Century Gothic" w:hAnsi="Century Gothic"/>
          <w:lang w:eastAsia="ko-KR"/>
        </w:rPr>
        <w:tab/>
      </w:r>
      <w:r>
        <w:rPr>
          <w:rFonts w:ascii="Century Gothic" w:hAnsi="Century Gothic"/>
          <w:lang w:eastAsia="ko-KR"/>
        </w:rPr>
        <w:tab/>
      </w:r>
      <w:r>
        <w:rPr>
          <w:rFonts w:ascii="Century Gothic" w:hAnsi="Century Gothic"/>
          <w:lang w:eastAsia="ko-KR"/>
        </w:rPr>
        <w:tab/>
      </w:r>
    </w:p>
    <w:p>
      <w:pPr>
        <w:rPr>
          <w:rFonts w:ascii="Century Gothic" w:hAnsi="Century Gothic"/>
        </w:rPr>
      </w:pPr>
      <w:proofErr w:type="gramStart"/>
      <w:r>
        <w:rPr>
          <w:rFonts w:ascii="Century Gothic" w:hAnsi="Century Gothic"/>
        </w:rPr>
        <w:t>in</w:t>
      </w:r>
      <w:proofErr w:type="gramEnd"/>
      <w:r>
        <w:rPr>
          <w:rFonts w:ascii="Century Gothic" w:hAnsi="Century Gothic"/>
        </w:rPr>
        <w:t xml:space="preserve"> the presence of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Grantor:</w:t>
      </w:r>
    </w:p>
    <w:p>
      <w:pPr>
        <w:rPr>
          <w:rFonts w:ascii="Century Gothic" w:hAnsi="Century Gothic"/>
          <w:lang w:eastAsia="ko-KR"/>
        </w:rPr>
      </w:pPr>
    </w:p>
    <w:p>
      <w:pPr>
        <w:rPr>
          <w:rFonts w:ascii="Century Gothic" w:hAnsi="Century Gothic"/>
          <w:lang w:eastAsia="ko-KR"/>
        </w:rPr>
      </w:pPr>
    </w:p>
    <w:p>
      <w:pPr>
        <w:ind w:firstLine="72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u w:val="single"/>
        </w:rPr>
        <w:t xml:space="preserve">                                                              </w:t>
      </w:r>
      <w:r>
        <w:rPr>
          <w:rFonts w:ascii="Century Gothic" w:hAnsi="Century Gothic"/>
        </w:rPr>
        <w:t xml:space="preserve"> (</w:t>
      </w:r>
      <w:r>
        <w:rPr>
          <w:rFonts w:ascii="Century Gothic" w:hAnsi="Century Gothic"/>
          <w:lang w:eastAsia="ko-KR"/>
        </w:rPr>
        <w:t>Seal</w:t>
      </w:r>
      <w:r>
        <w:rPr>
          <w:rFonts w:ascii="Century Gothic" w:hAnsi="Century Gothic"/>
        </w:rPr>
        <w:t>)</w:t>
      </w:r>
    </w:p>
    <w:p>
      <w:pPr>
        <w:pStyle w:val="Heading1"/>
        <w:rPr>
          <w:rFonts w:ascii="Century Gothic" w:hAnsi="Century Gothic"/>
          <w:sz w:val="20"/>
          <w:lang w:eastAsia="ko-KR"/>
        </w:rPr>
      </w:pPr>
      <w:r>
        <w:rPr>
          <w:rFonts w:ascii="Century Gothic" w:hAnsi="Century Gothic"/>
          <w:sz w:val="20"/>
        </w:rPr>
        <w:t xml:space="preserve">__________________________________   </w:t>
      </w:r>
      <w:r>
        <w:rPr>
          <w:rFonts w:ascii="Century Gothic" w:hAnsi="Century Gothic"/>
          <w:sz w:val="20"/>
          <w:lang w:eastAsia="ko-KR"/>
        </w:rPr>
        <w:tab/>
      </w:r>
      <w:r>
        <w:rPr>
          <w:rFonts w:ascii="Century Gothic" w:hAnsi="Century Gothic"/>
          <w:sz w:val="20"/>
        </w:rPr>
        <w:tab/>
      </w:r>
      <w:r>
        <w:rPr>
          <w:rFonts w:ascii="Century Gothic" w:hAnsi="Century Gothic"/>
          <w:sz w:val="20"/>
        </w:rPr>
        <w:tab/>
      </w:r>
      <w:r>
        <w:rPr>
          <w:rFonts w:ascii="Century Gothic" w:hAnsi="Century Gothic"/>
          <w:sz w:val="20"/>
          <w:lang w:eastAsia="ko-KR"/>
        </w:rPr>
        <w:t xml:space="preserve"> </w:t>
      </w:r>
    </w:p>
    <w:p>
      <w:pPr>
        <w:rPr>
          <w:rFonts w:ascii="Century Gothic" w:hAnsi="Century Gothic"/>
        </w:rPr>
      </w:pPr>
      <w:r>
        <w:rPr>
          <w:rFonts w:ascii="Century Gothic" w:hAnsi="Century Gothic"/>
        </w:rPr>
        <w:t>Unofficial Witness</w:t>
      </w:r>
    </w:p>
    <w:p>
      <w:pPr>
        <w:ind w:firstLine="72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pPr>
        <w:rPr>
          <w:rFonts w:ascii="Century Gothic" w:hAnsi="Century Gothic"/>
        </w:rPr>
      </w:pPr>
      <w:r>
        <w:rPr>
          <w:rFonts w:ascii="Century Gothic" w:hAnsi="Century Gothic"/>
        </w:rPr>
        <w:t xml:space="preserve">__________________________________       </w:t>
      </w:r>
      <w:r>
        <w:rPr>
          <w:rFonts w:ascii="Century Gothic" w:hAnsi="Century Gothic"/>
        </w:rPr>
        <w:tab/>
      </w:r>
      <w:r>
        <w:rPr>
          <w:rFonts w:ascii="Century Gothic" w:hAnsi="Century Gothic"/>
        </w:rPr>
        <w:tab/>
      </w:r>
      <w:r>
        <w:rPr>
          <w:rFonts w:ascii="Century Gothic" w:hAnsi="Century Gothic"/>
        </w:rPr>
        <w:tab/>
        <w:t xml:space="preserve"> </w:t>
      </w:r>
    </w:p>
    <w:p>
      <w:pPr>
        <w:rPr>
          <w:rFonts w:ascii="Century Gothic" w:hAnsi="Century Gothic"/>
        </w:rPr>
      </w:pPr>
      <w:r>
        <w:rPr>
          <w:rFonts w:ascii="Century Gothic" w:hAnsi="Century Gothic"/>
        </w:rPr>
        <w:t>Notary Public</w:t>
      </w:r>
    </w:p>
    <w:p>
      <w:pPr>
        <w:rPr>
          <w:rFonts w:ascii="Century Gothic" w:hAnsi="Century Gothic"/>
        </w:rPr>
      </w:pPr>
    </w:p>
    <w:p/>
    <w:p>
      <w:pPr>
        <w:tabs>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Century Gothic" w:hAnsi="Century Gothic"/>
          <w:b/>
        </w:rPr>
      </w:pPr>
      <w:r>
        <w:rPr>
          <w:rFonts w:ascii="Century Gothic" w:hAnsi="Century Gothic"/>
          <w:b/>
        </w:rPr>
        <w:t xml:space="preserve"> </w:t>
      </w:r>
    </w:p>
    <w:p>
      <w:pPr>
        <w:tabs>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Century Gothic" w:hAnsi="Century Gothic"/>
          <w:b/>
        </w:rPr>
      </w:pPr>
    </w:p>
    <w:p>
      <w:pPr>
        <w:tabs>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Century Gothic" w:hAnsi="Century Gothic"/>
        </w:rPr>
      </w:pPr>
    </w:p>
    <w:p>
      <w:pPr>
        <w:pStyle w:val="Title"/>
        <w:rPr>
          <w:rFonts w:ascii="Century Gothic" w:hAnsi="Century Gothic"/>
        </w:rPr>
      </w:pPr>
    </w:p>
    <w:sectPr>
      <w:headerReference w:type="even" r:id="rId8"/>
      <w:headerReference w:type="default" r:id="rId9"/>
      <w:footerReference w:type="default" r:id="rId10"/>
      <w:headerReference w:type="first" r:id="rId1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701113" o:spid="_x0000_s2062" type="#_x0000_t136" style="position:absolute;left:0;text-align:left;margin-left:0;margin-top:0;width:565.55pt;height:94.25pt;rotation:315;z-index:-251630592;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701114" o:spid="_x0000_s2063" type="#_x0000_t136" style="position:absolute;margin-left:0;margin-top:0;width:565.55pt;height:94.25pt;rotation:315;z-index:-251628544;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701112" o:spid="_x0000_s2061" type="#_x0000_t136" style="position:absolute;left:0;text-align:left;margin-left:0;margin-top:0;width:565.55pt;height:94.25pt;rotation:315;z-index:-251632640;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CF28AE28"/>
    <w:lvl w:ilvl="0">
      <w:start w:val="1"/>
      <w:numFmt w:val="decimal"/>
      <w:pStyle w:val="PFRHead1"/>
      <w:lvlText w:val="ARTICLE %1."/>
      <w:lvlJc w:val="center"/>
      <w:pPr>
        <w:tabs>
          <w:tab w:val="num" w:pos="1008"/>
        </w:tabs>
        <w:ind w:firstLine="288"/>
      </w:pPr>
      <w:rPr>
        <w:rFonts w:cs="Times New Roman" w:hint="eastAsia"/>
        <w:spacing w:val="0"/>
      </w:rPr>
    </w:lvl>
    <w:lvl w:ilvl="1">
      <w:start w:val="1"/>
      <w:numFmt w:val="decimal"/>
      <w:pStyle w:val="PFRHead2"/>
      <w:lvlText w:val="Section %1.%2"/>
      <w:lvlJc w:val="left"/>
      <w:pPr>
        <w:tabs>
          <w:tab w:val="num" w:pos="1800"/>
        </w:tabs>
        <w:ind w:firstLine="720"/>
      </w:pPr>
      <w:rPr>
        <w:rFonts w:ascii="Times New Roman" w:hAnsi="Times New Roman" w:cs="Times New Roman" w:hint="default"/>
        <w:b w:val="0"/>
        <w:bCs w:val="0"/>
        <w:i w:val="0"/>
        <w:iCs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PFRHead3"/>
      <w:lvlText w:val="(%3)"/>
      <w:lvlJc w:val="left"/>
      <w:pPr>
        <w:tabs>
          <w:tab w:val="num" w:pos="1800"/>
        </w:tabs>
        <w:ind w:firstLine="1440"/>
      </w:pPr>
      <w:rPr>
        <w:rFonts w:ascii="Times New Roman" w:hAnsi="Times New Roman" w:cs="Times New Roman" w:hint="default"/>
        <w:b w:val="0"/>
        <w:bCs w:val="0"/>
        <w:i w:val="0"/>
        <w:iCs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firstLine="2160"/>
      </w:pPr>
      <w:rPr>
        <w:rFonts w:cs="Times New Roman" w:hint="eastAsia"/>
        <w:spacing w:val="0"/>
      </w:rPr>
    </w:lvl>
    <w:lvl w:ilvl="4">
      <w:start w:val="1"/>
      <w:numFmt w:val="decimal"/>
      <w:lvlText w:val="(%5)"/>
      <w:lvlJc w:val="left"/>
      <w:pPr>
        <w:tabs>
          <w:tab w:val="num" w:pos="3240"/>
        </w:tabs>
        <w:ind w:firstLine="2880"/>
      </w:pPr>
      <w:rPr>
        <w:rFonts w:cs="Times New Roman" w:hint="eastAsia"/>
        <w:spacing w:val="0"/>
      </w:rPr>
    </w:lvl>
    <w:lvl w:ilvl="5">
      <w:start w:val="1"/>
      <w:numFmt w:val="upperLetter"/>
      <w:lvlText w:val="(%6)"/>
      <w:lvlJc w:val="left"/>
      <w:pPr>
        <w:tabs>
          <w:tab w:val="num" w:pos="3960"/>
        </w:tabs>
        <w:ind w:firstLine="3600"/>
      </w:pPr>
      <w:rPr>
        <w:rFonts w:cs="Times New Roman" w:hint="eastAsia"/>
        <w:spacing w:val="0"/>
      </w:rPr>
    </w:lvl>
    <w:lvl w:ilvl="6">
      <w:start w:val="1"/>
      <w:numFmt w:val="lowerRoman"/>
      <w:lvlText w:val="%7)"/>
      <w:lvlJc w:val="right"/>
      <w:pPr>
        <w:tabs>
          <w:tab w:val="num" w:pos="1296"/>
        </w:tabs>
        <w:ind w:left="1296" w:hanging="288"/>
      </w:pPr>
      <w:rPr>
        <w:rFonts w:cs="Times New Roman" w:hint="eastAsia"/>
        <w:spacing w:val="0"/>
      </w:rPr>
    </w:lvl>
    <w:lvl w:ilvl="7">
      <w:start w:val="1"/>
      <w:numFmt w:val="lowerLetter"/>
      <w:lvlText w:val="%8."/>
      <w:lvlJc w:val="left"/>
      <w:pPr>
        <w:tabs>
          <w:tab w:val="num" w:pos="1440"/>
        </w:tabs>
        <w:ind w:left="1440" w:hanging="432"/>
      </w:pPr>
      <w:rPr>
        <w:rFonts w:cs="Times New Roman" w:hint="eastAsia"/>
        <w:spacing w:val="0"/>
      </w:rPr>
    </w:lvl>
    <w:lvl w:ilvl="8">
      <w:start w:val="1"/>
      <w:numFmt w:val="lowerRoman"/>
      <w:lvlText w:val="%9."/>
      <w:lvlJc w:val="right"/>
      <w:pPr>
        <w:tabs>
          <w:tab w:val="num" w:pos="1584"/>
        </w:tabs>
        <w:ind w:left="1584" w:hanging="144"/>
      </w:pPr>
      <w:rPr>
        <w:rFonts w:cs="Times New Roman" w:hint="eastAsia"/>
        <w:spacing w:val="0"/>
      </w:rPr>
    </w:lvl>
  </w:abstractNum>
  <w:abstractNum w:abstractNumId="1" w15:restartNumberingAfterBreak="0">
    <w:nsid w:val="00000015"/>
    <w:multiLevelType w:val="multilevel"/>
    <w:tmpl w:val="DF488A88"/>
    <w:lvl w:ilvl="0">
      <w:start w:val="1"/>
      <w:numFmt w:val="decimal"/>
      <w:lvlRestart w:val="0"/>
      <w:pStyle w:val="Heading1"/>
      <w:lvlText w:val="%1."/>
      <w:lvlJc w:val="left"/>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ind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ind w:left="9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288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lvlText w:val="  "/>
      <w:lvlJc w:val="left"/>
      <w:pPr>
        <w:ind w:left="1008" w:hanging="432"/>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
      <w:lvlJc w:val="left"/>
      <w:pPr>
        <w:ind w:left="1152" w:hanging="432"/>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
      <w:lvlJc w:val="left"/>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
      <w:lvlJc w:val="left"/>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
      <w:lvlJc w:val="left"/>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16"/>
    <w:multiLevelType w:val="singleLevel"/>
    <w:tmpl w:val="2BB2C11E"/>
    <w:lvl w:ilvl="0">
      <w:start w:val="1"/>
      <w:numFmt w:val="decimal"/>
      <w:lvlText w:val="%1."/>
      <w:lvlJc w:val="left"/>
      <w:pPr>
        <w:tabs>
          <w:tab w:val="num" w:pos="1890"/>
        </w:tabs>
        <w:ind w:left="1890" w:hanging="450"/>
      </w:pPr>
      <w:rPr>
        <w:rFonts w:cs="Times New Roman" w:hint="eastAsia"/>
        <w:spacing w:val="0"/>
        <w:u w:val="none"/>
      </w:rPr>
    </w:lvl>
  </w:abstractNum>
  <w:abstractNum w:abstractNumId="3" w15:restartNumberingAfterBreak="0">
    <w:nsid w:val="00000017"/>
    <w:multiLevelType w:val="singleLevel"/>
    <w:tmpl w:val="3AE2621A"/>
    <w:lvl w:ilvl="0">
      <w:start w:val="1"/>
      <w:numFmt w:val="decimal"/>
      <w:lvlText w:val="%1."/>
      <w:lvlJc w:val="left"/>
      <w:pPr>
        <w:tabs>
          <w:tab w:val="num" w:pos="1890"/>
        </w:tabs>
        <w:ind w:left="1890" w:hanging="450"/>
      </w:pPr>
      <w:rPr>
        <w:rFonts w:cs="Times New Roman" w:hint="eastAsia"/>
        <w:spacing w:val="0"/>
      </w:rPr>
    </w:lvl>
  </w:abstractNum>
  <w:abstractNum w:abstractNumId="4" w15:restartNumberingAfterBreak="0">
    <w:nsid w:val="0000001C"/>
    <w:multiLevelType w:val="singleLevel"/>
    <w:tmpl w:val="131C7AB6"/>
    <w:lvl w:ilvl="0">
      <w:start w:val="1"/>
      <w:numFmt w:val="upperLetter"/>
      <w:lvlText w:val="%1."/>
      <w:lvlJc w:val="left"/>
      <w:pPr>
        <w:tabs>
          <w:tab w:val="num" w:pos="1440"/>
        </w:tabs>
        <w:ind w:left="1440" w:hanging="720"/>
      </w:pPr>
      <w:rPr>
        <w:rFonts w:cs="Times New Roman" w:hint="eastAsia"/>
        <w:spacing w:val="0"/>
      </w:rPr>
    </w:lvl>
  </w:abstractNum>
  <w:num w:numId="1">
    <w:abstractNumId w:val="0"/>
  </w:num>
  <w:num w:numId="2">
    <w:abstractNumId w:val="1"/>
  </w:num>
  <w:num w:numId="3">
    <w:abstractNumId w:val="1"/>
  </w:num>
  <w:num w:numId="4">
    <w:abstractNumId w:val="4"/>
  </w:num>
  <w:num w:numId="5">
    <w:abstractNumId w:val="3"/>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start w:val="1"/>
        <w:numFmt w:val="decimal"/>
        <w:lvlRestart w:val="0"/>
        <w:pStyle w:val="Heading1"/>
        <w:lvlText w:val="%1."/>
        <w:lvlJc w:val="left"/>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Override>
    <w:lvlOverride w:ilvl="1">
      <w:lvl w:ilvl="1">
        <w:start w:val="1"/>
        <w:numFmt w:val="lowerLetter"/>
        <w:pStyle w:val="Heading2"/>
        <w:lvlText w:val="(%2)"/>
        <w:lvlJc w:val="left"/>
        <w:pPr>
          <w:ind w:firstLine="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Override>
    <w:lvlOverride w:ilvl="2">
      <w:lvl w:ilvl="2">
        <w:start w:val="1"/>
        <w:numFmt w:val="lowerRoman"/>
        <w:pStyle w:val="Heading3"/>
        <w:lvlText w:val="(%3)"/>
        <w:lvlJc w:val="left"/>
        <w:pPr>
          <w:ind w:left="90" w:firstLine="720"/>
        </w:pPr>
        <w:rPr>
          <w:rFonts w:ascii="Times New Roman" w:hAnsi="Times New Roman" w:cs="Times New Roman" w:hint="default"/>
          <w:b w:val="0"/>
          <w:i w:val="0"/>
          <w:caps w:val="0"/>
          <w:smallCaps w:val="0"/>
          <w:strike w:val="0"/>
          <w:dstrike w:val="0"/>
          <w:outline w:val="0"/>
          <w:shadow w:val="0"/>
          <w:emboss w:val="0"/>
          <w:imprint w:val="0"/>
          <w:vanish w:val="0"/>
          <w:color w:val="0000FF"/>
          <w:spacing w:val="0"/>
          <w:w w:val="100"/>
          <w:kern w:val="0"/>
          <w:position w:val="0"/>
          <w:sz w:val="24"/>
          <w:u w:val="double"/>
          <w:effect w:val="none"/>
          <w:vertAlign w:val="baseline"/>
        </w:rPr>
      </w:lvl>
    </w:lvlOverride>
    <w:lvlOverride w:ilvl="3">
      <w:lvl w:ilvl="3">
        <w:start w:val="1"/>
        <w:numFmt w:val="lowerLetter"/>
        <w:pStyle w:val="Heading4"/>
        <w:lvlText w:val="(%4)"/>
        <w:lvlJc w:val="left"/>
        <w:pPr>
          <w:ind w:left="2880" w:hanging="720"/>
        </w:pPr>
        <w:rPr>
          <w:rFonts w:ascii="(normal text)" w:hAnsi="(normal text)" w:cs="Times New Roman" w:hint="default"/>
          <w:b w:val="0"/>
          <w:i w:val="0"/>
          <w:caps w:val="0"/>
          <w:smallCaps w:val="0"/>
          <w:strike w:val="0"/>
          <w:dstrike w:val="0"/>
          <w:outline w:val="0"/>
          <w:shadow w:val="0"/>
          <w:emboss w:val="0"/>
          <w:imprint w:val="0"/>
          <w:vanish w:val="0"/>
          <w:color w:val="0000FF"/>
          <w:spacing w:val="0"/>
          <w:w w:val="100"/>
          <w:kern w:val="0"/>
          <w:position w:val="0"/>
          <w:sz w:val="24"/>
          <w:u w:val="double"/>
          <w:effect w:val="none"/>
          <w:vertAlign w:val="baseline"/>
        </w:rPr>
      </w:lvl>
    </w:lvlOverride>
    <w:lvlOverride w:ilvl="4">
      <w:lvl w:ilvl="4">
        <w:start w:val="1"/>
        <w:numFmt w:val="none"/>
        <w:pStyle w:val="Heading5"/>
        <w:lvlText w:val="  "/>
        <w:lvlJc w:val="left"/>
        <w:pPr>
          <w:ind w:left="1008" w:hanging="432"/>
        </w:pPr>
        <w:rPr>
          <w:rFonts w:ascii="Times New Roman" w:hAnsi="Times New Roman" w:cs="Times New Roman" w:hint="default"/>
          <w:b w:val="0"/>
          <w:i w:val="0"/>
          <w:caps w:val="0"/>
          <w:smallCaps w:val="0"/>
          <w:strike w:val="0"/>
          <w:dstrike w:val="0"/>
          <w:outline w:val="0"/>
          <w:shadow w:val="0"/>
          <w:emboss w:val="0"/>
          <w:imprint w:val="0"/>
          <w:vanish w:val="0"/>
          <w:color w:val="0000FF"/>
          <w:spacing w:val="0"/>
          <w:w w:val="100"/>
          <w:kern w:val="0"/>
          <w:position w:val="0"/>
          <w:sz w:val="20"/>
          <w:u w:val="double"/>
          <w:effect w:val="none"/>
          <w:vertAlign w:val="baseline"/>
        </w:rPr>
      </w:lvl>
    </w:lvlOverride>
    <w:lvlOverride w:ilvl="5">
      <w:lvl w:ilvl="5">
        <w:start w:val="1"/>
        <w:numFmt w:val="none"/>
        <w:pStyle w:val="Heading6"/>
        <w:lvlText w:val="  "/>
        <w:lvlJc w:val="left"/>
        <w:pPr>
          <w:ind w:left="1152" w:hanging="432"/>
        </w:pPr>
        <w:rPr>
          <w:rFonts w:ascii="Times New Roman" w:hAnsi="Times New Roman" w:cs="Times New Roman" w:hint="default"/>
          <w:b w:val="0"/>
          <w:i w:val="0"/>
          <w:caps w:val="0"/>
          <w:smallCaps w:val="0"/>
          <w:strike w:val="0"/>
          <w:dstrike w:val="0"/>
          <w:outline w:val="0"/>
          <w:shadow w:val="0"/>
          <w:emboss w:val="0"/>
          <w:imprint w:val="0"/>
          <w:vanish w:val="0"/>
          <w:color w:val="0000FF"/>
          <w:spacing w:val="0"/>
          <w:w w:val="100"/>
          <w:kern w:val="0"/>
          <w:position w:val="0"/>
          <w:sz w:val="20"/>
          <w:u w:val="double"/>
          <w:effect w:val="none"/>
          <w:vertAlign w:val="baseline"/>
        </w:rPr>
      </w:lvl>
    </w:lvlOverride>
    <w:lvlOverride w:ilvl="6">
      <w:lvl w:ilvl="6">
        <w:start w:val="1"/>
        <w:numFmt w:val="none"/>
        <w:pStyle w:val="Heading7"/>
        <w:lvlText w:val="  "/>
        <w:lvlJc w:val="left"/>
        <w:rPr>
          <w:rFonts w:ascii="Times New Roman" w:hAnsi="Times New Roman" w:cs="Times New Roman" w:hint="default"/>
          <w:b w:val="0"/>
          <w:i w:val="0"/>
          <w:caps w:val="0"/>
          <w:smallCaps w:val="0"/>
          <w:strike w:val="0"/>
          <w:dstrike w:val="0"/>
          <w:outline w:val="0"/>
          <w:shadow w:val="0"/>
          <w:emboss w:val="0"/>
          <w:imprint w:val="0"/>
          <w:vanish w:val="0"/>
          <w:color w:val="0000FF"/>
          <w:spacing w:val="0"/>
          <w:w w:val="100"/>
          <w:kern w:val="0"/>
          <w:position w:val="0"/>
          <w:sz w:val="20"/>
          <w:u w:val="double"/>
          <w:effect w:val="none"/>
          <w:vertAlign w:val="baseline"/>
        </w:rPr>
      </w:lvl>
    </w:lvlOverride>
    <w:lvlOverride w:ilvl="7">
      <w:lvl w:ilvl="7">
        <w:start w:val="1"/>
        <w:numFmt w:val="none"/>
        <w:pStyle w:val="Heading8"/>
        <w:lvlText w:val="  "/>
        <w:lvlJc w:val="left"/>
        <w:rPr>
          <w:rFonts w:ascii="Times New Roman" w:hAnsi="Times New Roman" w:cs="Times New Roman" w:hint="default"/>
          <w:b w:val="0"/>
          <w:i w:val="0"/>
          <w:caps w:val="0"/>
          <w:smallCaps w:val="0"/>
          <w:strike w:val="0"/>
          <w:dstrike w:val="0"/>
          <w:outline w:val="0"/>
          <w:shadow w:val="0"/>
          <w:emboss w:val="0"/>
          <w:imprint w:val="0"/>
          <w:vanish w:val="0"/>
          <w:color w:val="0000FF"/>
          <w:spacing w:val="0"/>
          <w:w w:val="100"/>
          <w:kern w:val="0"/>
          <w:position w:val="0"/>
          <w:sz w:val="20"/>
          <w:u w:val="double"/>
          <w:effect w:val="none"/>
          <w:vertAlign w:val="baseline"/>
        </w:rPr>
      </w:lvl>
    </w:lvlOverride>
    <w:lvlOverride w:ilvl="8">
      <w:lvl w:ilvl="8">
        <w:start w:val="1"/>
        <w:numFmt w:val="none"/>
        <w:pStyle w:val="Heading9"/>
        <w:lvlText w:val="  "/>
        <w:lvlJc w:val="left"/>
        <w:rPr>
          <w:rFonts w:ascii="Times New Roman" w:hAnsi="Times New Roman" w:cs="Times New Roman" w:hint="default"/>
          <w:b w:val="0"/>
          <w:i w:val="0"/>
          <w:caps w:val="0"/>
          <w:smallCaps w:val="0"/>
          <w:strike w:val="0"/>
          <w:dstrike w:val="0"/>
          <w:outline w:val="0"/>
          <w:shadow w:val="0"/>
          <w:emboss w:val="0"/>
          <w:imprint w:val="0"/>
          <w:vanish w:val="0"/>
          <w:color w:val="0000FF"/>
          <w:spacing w:val="0"/>
          <w:w w:val="100"/>
          <w:kern w:val="0"/>
          <w:position w:val="0"/>
          <w:sz w:val="20"/>
          <w:u w:val="double"/>
          <w:effect w:val="none"/>
          <w:vertAlign w:val="baseline"/>
        </w:rPr>
      </w:lvl>
    </w:lvlOverride>
  </w:num>
  <w:num w:numId="9">
    <w:abstractNumId w:val="1"/>
    <w:lvlOverride w:ilvl="0">
      <w:startOverride w:val="43"/>
    </w:lvlOverride>
  </w:num>
  <w:num w:numId="10">
    <w:abstractNumId w:val="1"/>
    <w:lvlOverride w:ilvl="0">
      <w:startOverride w:val="42"/>
    </w:lvlOverride>
  </w:num>
  <w:num w:numId="11">
    <w:abstractNumId w:val="1"/>
    <w:lvlOverride w:ilvl="0">
      <w:startOverride w:val="41"/>
    </w:lvlOverride>
  </w:num>
  <w:num w:numId="12">
    <w:abstractNumId w:val="1"/>
    <w:lvlOverride w:ilvl="0">
      <w:startOverride w:val="40"/>
    </w:lvlOverride>
  </w:num>
  <w:num w:numId="13">
    <w:abstractNumId w:val="1"/>
    <w:lvlOverride w:ilvl="0">
      <w:startOverride w:val="39"/>
    </w:lvlOverride>
  </w:num>
  <w:num w:numId="14">
    <w:abstractNumId w:val="1"/>
    <w:lvlOverride w:ilvl="0">
      <w:startOverride w:val="38"/>
    </w:lvlOverride>
  </w:num>
  <w:num w:numId="15">
    <w:abstractNumId w:val="1"/>
    <w:lvlOverride w:ilvl="0">
      <w:startOverride w:val="37"/>
    </w:lvlOverride>
  </w:num>
  <w:num w:numId="16">
    <w:abstractNumId w:val="1"/>
    <w:lvlOverride w:ilvl="0">
      <w:startOverride w:val="36"/>
    </w:lvlOverride>
  </w:num>
  <w:num w:numId="17">
    <w:abstractNumId w:val="1"/>
    <w:lvlOverride w:ilvl="0">
      <w:startOverride w:val="35"/>
    </w:lvlOverride>
  </w:num>
  <w:num w:numId="18">
    <w:abstractNumId w:val="1"/>
    <w:lvlOverride w:ilvl="0">
      <w:startOverride w:val="34"/>
    </w:lvlOverride>
  </w:num>
  <w:num w:numId="19">
    <w:abstractNumId w:val="1"/>
    <w:lvlOverride w:ilvl="0">
      <w:startOverride w:val="33"/>
    </w:lvlOverride>
  </w:num>
  <w:num w:numId="20">
    <w:abstractNumId w:val="1"/>
    <w:lvlOverride w:ilvl="0">
      <w:startOverride w:val="32"/>
    </w:lvlOverride>
  </w:num>
  <w:num w:numId="21">
    <w:abstractNumId w:val="1"/>
    <w:lvlOverride w:ilvl="0">
      <w:startOverride w:val="31"/>
    </w:lvlOverride>
  </w:num>
  <w:num w:numId="22">
    <w:abstractNumId w:val="1"/>
    <w:lvlOverride w:ilvl="0">
      <w:startOverride w:val="30"/>
    </w:lvlOverride>
  </w:num>
  <w:num w:numId="23">
    <w:abstractNumId w:val="1"/>
    <w:lvlOverride w:ilvl="0">
      <w:startOverride w:val="29"/>
    </w:lvlOverride>
  </w:num>
  <w:num w:numId="24">
    <w:abstractNumId w:val="1"/>
    <w:lvlOverride w:ilvl="0">
      <w:startOverride w:val="28"/>
    </w:lvlOverride>
  </w:num>
  <w:num w:numId="25">
    <w:abstractNumId w:val="1"/>
    <w:lvlOverride w:ilvl="0">
      <w:startOverride w:val="27"/>
    </w:lvlOverride>
  </w:num>
  <w:num w:numId="26">
    <w:abstractNumId w:val="1"/>
    <w:lvlOverride w:ilvl="0">
      <w:startOverride w:val="26"/>
    </w:lvlOverride>
  </w:num>
  <w:num w:numId="27">
    <w:abstractNumId w:val="1"/>
    <w:lvlOverride w:ilvl="0">
      <w:startOverride w:val="25"/>
    </w:lvlOverride>
  </w:num>
  <w:num w:numId="28">
    <w:abstractNumId w:val="1"/>
    <w:lvlOverride w:ilvl="0">
      <w:startOverride w:val="24"/>
    </w:lvlOverride>
  </w:num>
  <w:num w:numId="29">
    <w:abstractNumId w:val="1"/>
    <w:lvlOverride w:ilvl="0">
      <w:startOverride w:val="23"/>
    </w:lvlOverride>
  </w:num>
  <w:num w:numId="30">
    <w:abstractNumId w:val="1"/>
    <w:lvlOverride w:ilvl="0">
      <w:startOverride w:val="22"/>
    </w:lvlOverride>
  </w:num>
  <w:num w:numId="31">
    <w:abstractNumId w:val="1"/>
    <w:lvlOverride w:ilvl="0">
      <w:startOverride w:val="21"/>
    </w:lvlOverride>
  </w:num>
  <w:num w:numId="32">
    <w:abstractNumId w:val="1"/>
    <w:lvlOverride w:ilvl="0">
      <w:startOverride w:val="20"/>
    </w:lvlOverride>
  </w:num>
  <w:num w:numId="33">
    <w:abstractNumId w:val="1"/>
    <w:lvlOverride w:ilvl="0">
      <w:startOverride w:val="19"/>
    </w:lvlOverride>
  </w:num>
  <w:num w:numId="34">
    <w:abstractNumId w:val="1"/>
    <w:lvlOverride w:ilvl="0">
      <w:startOverride w:val="17"/>
    </w:lvlOverride>
  </w:num>
  <w:num w:numId="35">
    <w:abstractNumId w:val="1"/>
    <w:lvlOverride w:ilvl="0">
      <w:startOverride w:val="16"/>
    </w:lvlOverride>
  </w:num>
  <w:num w:numId="36">
    <w:abstractNumId w:val="1"/>
    <w:lvlOverride w:ilvl="0">
      <w:startOverride w:val="15"/>
    </w:lvlOverride>
  </w:num>
  <w:num w:numId="37">
    <w:abstractNumId w:val="1"/>
    <w:lvlOverride w:ilvl="0">
      <w:startOverride w:val="14"/>
    </w:lvlOverride>
  </w:num>
  <w:num w:numId="38">
    <w:abstractNumId w:val="1"/>
    <w:lvlOverride w:ilvl="0">
      <w:startOverride w:val="13"/>
    </w:lvlOverride>
  </w:num>
  <w:num w:numId="39">
    <w:abstractNumId w:val="1"/>
    <w:lvlOverride w:ilvl="0">
      <w:startOverride w:val="12"/>
    </w:lvlOverride>
  </w:num>
  <w:num w:numId="40">
    <w:abstractNumId w:val="1"/>
    <w:lvlOverride w:ilvl="0">
      <w:startOverride w:val="11"/>
    </w:lvlOverride>
  </w:num>
  <w:num w:numId="41">
    <w:abstractNumId w:val="1"/>
    <w:lvlOverride w:ilvl="0">
      <w:startOverride w:val="10"/>
    </w:lvlOverride>
  </w:num>
  <w:num w:numId="42">
    <w:abstractNumId w:val="1"/>
    <w:lvlOverride w:ilvl="0">
      <w:startOverride w:val="9"/>
    </w:lvlOverride>
  </w:num>
  <w:num w:numId="43">
    <w:abstractNumId w:val="1"/>
    <w:lvlOverride w:ilvl="0">
      <w:startOverride w:val="8"/>
    </w:lvlOverride>
  </w:num>
  <w:num w:numId="44">
    <w:abstractNumId w:val="1"/>
    <w:lvlOverride w:ilvl="0">
      <w:startOverride w:val="7"/>
    </w:lvlOverride>
  </w:num>
  <w:num w:numId="45">
    <w:abstractNumId w:val="1"/>
    <w:lvlOverride w:ilvl="0">
      <w:startOverride w:val="6"/>
    </w:lvlOverride>
  </w:num>
  <w:num w:numId="46">
    <w:abstractNumId w:val="1"/>
    <w:lvlOverride w:ilvl="0">
      <w:startOverride w:val="5"/>
    </w:lvlOverride>
  </w:num>
  <w:num w:numId="47">
    <w:abstractNumId w:val="1"/>
    <w:lvlOverride w:ilvl="0">
      <w:startOverride w:val="4"/>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6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ActiveDesign" w:val="Heading"/>
    <w:docVar w:name="SWAllDesigns" w:val="Heading|"/>
    <w:docVar w:name="SWAllLineBreaks" w:val="Heading~~0|0|0|0|0|0|0|0|0|@@"/>
    <w:docVar w:name="SWDocIDDate" w:val="0"/>
    <w:docVar w:name="SWDocIDLocation" w:val="1"/>
    <w:docVar w:name="SWInitialSave" w:val="-1"/>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5:chartTrackingRefBased/>
  <w15:docId w15:val="{5318B722-3908-4CA1-96D4-3DDEE70B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jc w:val="both"/>
    </w:pPr>
    <w:rPr>
      <w:sz w:val="24"/>
      <w:szCs w:val="24"/>
    </w:rPr>
  </w:style>
  <w:style w:type="paragraph" w:styleId="Heading1">
    <w:name w:val="heading 1"/>
    <w:basedOn w:val="Normal"/>
    <w:qFormat/>
    <w:pPr>
      <w:numPr>
        <w:numId w:val="3"/>
      </w:numPr>
      <w:spacing w:after="240"/>
      <w:outlineLvl w:val="0"/>
    </w:pPr>
    <w:rPr>
      <w:kern w:val="32"/>
    </w:rPr>
  </w:style>
  <w:style w:type="paragraph" w:styleId="Heading2">
    <w:name w:val="heading 2"/>
    <w:basedOn w:val="Normal"/>
    <w:qFormat/>
    <w:pPr>
      <w:numPr>
        <w:ilvl w:val="1"/>
        <w:numId w:val="3"/>
      </w:numPr>
      <w:spacing w:after="240"/>
      <w:outlineLvl w:val="1"/>
    </w:pPr>
  </w:style>
  <w:style w:type="paragraph" w:styleId="Heading3">
    <w:name w:val="heading 3"/>
    <w:basedOn w:val="Normal"/>
    <w:qFormat/>
    <w:pPr>
      <w:numPr>
        <w:ilvl w:val="2"/>
        <w:numId w:val="3"/>
      </w:numPr>
      <w:outlineLvl w:val="2"/>
    </w:pPr>
  </w:style>
  <w:style w:type="paragraph" w:styleId="Heading4">
    <w:name w:val="heading 4"/>
    <w:basedOn w:val="Normal"/>
    <w:qFormat/>
    <w:pPr>
      <w:numPr>
        <w:ilvl w:val="3"/>
        <w:numId w:val="3"/>
      </w:numPr>
      <w:spacing w:after="240"/>
      <w:outlineLvl w:val="3"/>
    </w:pPr>
  </w:style>
  <w:style w:type="paragraph" w:styleId="Heading5">
    <w:name w:val="heading 5"/>
    <w:basedOn w:val="Normal"/>
    <w:next w:val="Heading4"/>
    <w:qFormat/>
    <w:pPr>
      <w:widowControl w:val="0"/>
      <w:numPr>
        <w:ilvl w:val="4"/>
        <w:numId w:val="3"/>
      </w:numPr>
      <w:spacing w:after="240"/>
      <w:outlineLvl w:val="4"/>
    </w:pPr>
  </w:style>
  <w:style w:type="paragraph" w:styleId="Heading6">
    <w:name w:val="heading 6"/>
    <w:basedOn w:val="Normal"/>
    <w:next w:val="Heading4"/>
    <w:qFormat/>
    <w:pPr>
      <w:widowControl w:val="0"/>
      <w:numPr>
        <w:ilvl w:val="5"/>
        <w:numId w:val="3"/>
      </w:numPr>
      <w:spacing w:after="240"/>
      <w:outlineLvl w:val="5"/>
    </w:pPr>
  </w:style>
  <w:style w:type="paragraph" w:styleId="Heading7">
    <w:name w:val="heading 7"/>
    <w:basedOn w:val="Normal"/>
    <w:next w:val="Heading4"/>
    <w:qFormat/>
    <w:pPr>
      <w:numPr>
        <w:ilvl w:val="6"/>
        <w:numId w:val="3"/>
      </w:numPr>
      <w:spacing w:before="240" w:after="60"/>
      <w:outlineLvl w:val="6"/>
    </w:pPr>
    <w:rPr>
      <w:rFonts w:ascii="Arial" w:hAnsi="Arial" w:cs="Arial"/>
      <w:sz w:val="20"/>
      <w:szCs w:val="20"/>
    </w:rPr>
  </w:style>
  <w:style w:type="paragraph" w:styleId="Heading8">
    <w:name w:val="heading 8"/>
    <w:basedOn w:val="Normal"/>
    <w:next w:val="Heading4"/>
    <w:qFormat/>
    <w:pPr>
      <w:numPr>
        <w:ilvl w:val="7"/>
        <w:numId w:val="3"/>
      </w:numPr>
      <w:spacing w:before="240" w:after="60"/>
      <w:outlineLvl w:val="7"/>
    </w:pPr>
    <w:rPr>
      <w:rFonts w:ascii="Arial" w:hAnsi="Arial" w:cs="Arial"/>
      <w:i/>
      <w:sz w:val="20"/>
      <w:szCs w:val="20"/>
    </w:rPr>
  </w:style>
  <w:style w:type="paragraph" w:styleId="Heading9">
    <w:name w:val="heading 9"/>
    <w:basedOn w:val="Normal"/>
    <w:next w:val="Heading4"/>
    <w:qFormat/>
    <w:pPr>
      <w:numPr>
        <w:ilvl w:val="8"/>
        <w:numId w:val="3"/>
      </w:numPr>
      <w:spacing w:before="240" w:after="60"/>
      <w:outlineLvl w:val="8"/>
    </w:pPr>
    <w:rPr>
      <w:rFonts w:ascii="Arial" w:hAnsi="Arial" w:cs="Arial"/>
      <w:b/>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PFRHead1">
    <w:name w:val="PFR Head 1"/>
    <w:basedOn w:val="Heading1"/>
    <w:next w:val="Normal"/>
    <w:pPr>
      <w:widowControl w:val="0"/>
      <w:numPr>
        <w:numId w:val="1"/>
      </w:numPr>
      <w:jc w:val="center"/>
    </w:pPr>
    <w:rPr>
      <w:rFonts w:ascii="Courier" w:hAnsi="Courier" w:cs="Courier"/>
      <w:sz w:val="22"/>
      <w:szCs w:val="22"/>
    </w:rPr>
  </w:style>
  <w:style w:type="paragraph" w:customStyle="1" w:styleId="PFRHead2">
    <w:name w:val="PFR Head 2"/>
    <w:basedOn w:val="Normal"/>
    <w:next w:val="Normal"/>
    <w:pPr>
      <w:numPr>
        <w:ilvl w:val="1"/>
        <w:numId w:val="1"/>
      </w:numPr>
    </w:pPr>
    <w:rPr>
      <w:rFonts w:ascii="Courier" w:hAnsi="Courier" w:cs="Courier"/>
      <w:sz w:val="22"/>
      <w:szCs w:val="22"/>
    </w:rPr>
  </w:style>
  <w:style w:type="paragraph" w:customStyle="1" w:styleId="PFRHead3">
    <w:name w:val="PFR Head3"/>
    <w:basedOn w:val="Normal"/>
    <w:next w:val="Normal"/>
    <w:pPr>
      <w:numPr>
        <w:ilvl w:val="2"/>
        <w:numId w:val="1"/>
      </w:numPr>
    </w:pPr>
    <w:rPr>
      <w:sz w:val="22"/>
      <w:szCs w:val="22"/>
    </w:rPr>
  </w:style>
  <w:style w:type="paragraph" w:styleId="BodyText">
    <w:name w:val="Body Text"/>
    <w:basedOn w:val="Normal"/>
    <w:pPr>
      <w:ind w:right="-720"/>
    </w:pPr>
  </w:style>
  <w:style w:type="paragraph" w:styleId="BodyTextIndent">
    <w:name w:val="Body Text Indent"/>
    <w:basedOn w:val="Normal"/>
    <w:pPr>
      <w:tabs>
        <w:tab w:val="right" w:pos="4284"/>
      </w:tabs>
      <w:ind w:right="-108"/>
    </w:pPr>
  </w:style>
  <w:style w:type="character" w:styleId="PageNumber">
    <w:name w:val="page number"/>
    <w:basedOn w:val="DefaultParagraphFont"/>
    <w:rPr>
      <w:rFonts w:cs="Times New Roman"/>
      <w:spacing w:val="0"/>
    </w:rPr>
  </w:style>
  <w:style w:type="paragraph" w:styleId="Title">
    <w:name w:val="Title"/>
    <w:basedOn w:val="Normal"/>
    <w:qFormat/>
    <w:pPr>
      <w:jc w:val="center"/>
    </w:pPr>
    <w:rPr>
      <w:b/>
    </w:rPr>
  </w:style>
  <w:style w:type="paragraph" w:styleId="Subtitle">
    <w:name w:val="Subtitle"/>
    <w:basedOn w:val="Normal"/>
    <w:qFormat/>
    <w:pPr>
      <w:jc w:val="center"/>
    </w:pPr>
    <w:rPr>
      <w:b/>
      <w:u w:val="single"/>
    </w:rPr>
  </w:style>
  <w:style w:type="paragraph" w:customStyle="1" w:styleId="eq">
    <w:name w:val="eq"/>
    <w:basedOn w:val="Normal"/>
    <w:pPr>
      <w:tabs>
        <w:tab w:val="left" w:pos="5040"/>
      </w:tabs>
    </w:pPr>
  </w:style>
  <w:style w:type="paragraph" w:styleId="Date">
    <w:name w:val="Date"/>
    <w:basedOn w:val="Normal"/>
    <w:next w:val="Normal"/>
    <w:pPr>
      <w:jc w:val="center"/>
    </w:pPr>
  </w:style>
  <w:style w:type="paragraph" w:customStyle="1" w:styleId="Level1">
    <w:name w:val="Level 1"/>
    <w:basedOn w:val="Normal"/>
    <w:pPr>
      <w:widowControl w:val="0"/>
      <w:jc w:val="left"/>
    </w:pPr>
  </w:style>
  <w:style w:type="paragraph" w:customStyle="1" w:styleId="DeltaViewTableHeading">
    <w:name w:val="DeltaView Table Heading"/>
    <w:basedOn w:val="Normal"/>
    <w:pPr>
      <w:spacing w:after="120"/>
      <w:jc w:val="left"/>
    </w:pPr>
    <w:rPr>
      <w:rFonts w:ascii="Arial" w:hAnsi="Arial" w:cs="Arial"/>
      <w:b/>
    </w:rPr>
  </w:style>
  <w:style w:type="paragraph" w:customStyle="1" w:styleId="DeltaViewTableBody">
    <w:name w:val="DeltaView Table Body"/>
    <w:basedOn w:val="Normal"/>
    <w:pPr>
      <w:jc w:val="left"/>
    </w:pPr>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basedOn w:val="DefaultParagraphFont"/>
    <w:rPr>
      <w:rFonts w:cs="Times New Roman"/>
      <w:spacing w:val="0"/>
      <w:sz w:val="16"/>
      <w:szCs w:val="16"/>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FF0000"/>
      <w:spacing w:val="0"/>
    </w:rPr>
  </w:style>
  <w:style w:type="character" w:customStyle="1" w:styleId="DeltaViewMoveDestination">
    <w:name w:val="DeltaView Move Destination"/>
    <w:rPr>
      <w:color w:val="0000FF"/>
      <w:spacing w:val="0"/>
      <w:u w:val="double"/>
    </w:rPr>
  </w:style>
  <w:style w:type="paragraph" w:styleId="CommentText">
    <w:name w:val="annotation text"/>
    <w:basedOn w:val="Normal"/>
    <w:pPr>
      <w:jc w:val="left"/>
    </w:pPr>
    <w:rPr>
      <w:sz w:val="20"/>
      <w:szCs w:val="20"/>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pPr>
      <w:shd w:val="clear" w:color="auto" w:fill="000080"/>
      <w:jc w:val="left"/>
    </w:pPr>
    <w:rPr>
      <w:rFonts w:ascii="Tahoma" w:hAnsi="Tahoma" w:cs="Tahoma"/>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basedOn w:val="DefaultParagraphFont"/>
    <w:rPr>
      <w:rFonts w:cs="Times New Roman"/>
      <w:color w:val="0000FF"/>
      <w:spacing w:val="0"/>
      <w:u w:val="double"/>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paragraph" w:styleId="BodyText2">
    <w:name w:val="Body Text 2"/>
    <w:basedOn w:val="Normal"/>
    <w:rPr>
      <w:color w:val="000000"/>
    </w:rPr>
  </w:style>
  <w:style w:type="paragraph" w:customStyle="1" w:styleId="Level3">
    <w:name w:val="Level 3"/>
    <w:basedOn w:val="Normal"/>
    <w:pPr>
      <w:widowControl w:val="0"/>
      <w:jc w:val="left"/>
      <w:outlineLvl w:val="2"/>
    </w:pPr>
  </w:style>
  <w:style w:type="paragraph" w:customStyle="1" w:styleId="1stLineDoubleIndentDS">
    <w:name w:val="1st Line Double Indent DS"/>
    <w:basedOn w:val="Normal"/>
    <w:pPr>
      <w:spacing w:line="480" w:lineRule="auto"/>
      <w:ind w:firstLine="1440"/>
    </w:pPr>
  </w:style>
  <w:style w:type="paragraph" w:customStyle="1" w:styleId="1stLineIndentDS">
    <w:name w:val="1st Line Indent DS"/>
    <w:basedOn w:val="Normal"/>
    <w:pPr>
      <w:spacing w:line="480" w:lineRule="auto"/>
      <w:ind w:firstLine="720"/>
    </w:pPr>
  </w:style>
  <w:style w:type="paragraph" w:customStyle="1" w:styleId="BlockSS">
    <w:name w:val="Block SS"/>
    <w:basedOn w:val="Normal"/>
    <w:pPr>
      <w:spacing w:after="240"/>
    </w:pPr>
  </w:style>
  <w:style w:type="paragraph" w:styleId="ListBullet5">
    <w:name w:val="List Bullet 5"/>
    <w:basedOn w:val="List"/>
    <w:autoRedefine/>
    <w:pPr>
      <w:tabs>
        <w:tab w:val="num" w:pos="1800"/>
      </w:tabs>
      <w:spacing w:after="240"/>
      <w:ind w:left="1800"/>
    </w:pPr>
  </w:style>
  <w:style w:type="paragraph" w:styleId="Signature">
    <w:name w:val="Signature"/>
    <w:basedOn w:val="Normal"/>
    <w:pPr>
      <w:keepNext/>
      <w:keepLines/>
      <w:spacing w:after="480"/>
      <w:ind w:left="4320"/>
      <w:jc w:val="left"/>
    </w:pPr>
  </w:style>
  <w:style w:type="paragraph" w:customStyle="1" w:styleId="Notice">
    <w:name w:val="Notice"/>
    <w:basedOn w:val="BlockSS"/>
    <w:pPr>
      <w:keepLines/>
      <w:tabs>
        <w:tab w:val="left" w:pos="3600"/>
      </w:tabs>
      <w:ind w:left="3600" w:hanging="2160"/>
      <w:jc w:val="left"/>
    </w:pPr>
  </w:style>
  <w:style w:type="paragraph" w:styleId="List">
    <w:name w:val="List"/>
    <w:basedOn w:val="Normal"/>
    <w:pPr>
      <w:ind w:left="360" w:hanging="360"/>
    </w:pPr>
  </w:style>
  <w:style w:type="paragraph" w:styleId="BalloonText">
    <w:name w:val="Balloon Text"/>
    <w:basedOn w:val="Normal"/>
    <w:rPr>
      <w:rFonts w:ascii="Tahoma" w:hAnsi="Tahoma" w:cs="Tahoma"/>
      <w:sz w:val="16"/>
      <w:szCs w:val="16"/>
    </w:rPr>
  </w:style>
  <w:style w:type="paragraph" w:styleId="CommentSubject">
    <w:name w:val="annotation subject"/>
    <w:basedOn w:val="CommentText"/>
    <w:next w:val="CommentText"/>
    <w:pPr>
      <w:jc w:val="both"/>
    </w:pPr>
    <w:rPr>
      <w:b/>
    </w:rPr>
  </w:style>
  <w:style w:type="paragraph" w:styleId="Revision">
    <w:name w:val="Revision"/>
    <w:hidden/>
    <w:pPr>
      <w:autoSpaceDE w:val="0"/>
      <w:autoSpaceDN w:val="0"/>
      <w:adjustRightInd w:val="0"/>
    </w:pPr>
    <w:rPr>
      <w:sz w:val="24"/>
      <w:szCs w:val="24"/>
    </w:rPr>
  </w:style>
  <w:style w:type="character" w:customStyle="1" w:styleId="HeaderChar">
    <w:name w:val="Header Char"/>
    <w:basedOn w:val="DefaultParagraphFont"/>
    <w:link w:val="Heade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29F08-B667-4EF4-B3F8-81AB18E5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BUILD TO SUIT LEASE</vt:lpstr>
    </vt:vector>
  </TitlesOfParts>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www.WendtCRS.com</dc:creator>
  <cp:keywords/>
  <dc:description/>
  <cp:lastPrinted>2007-11-20T19:17:00Z</cp:lastPrinted>
  <dcterms:created xsi:type="dcterms:W3CDTF">2016-11-20T23:53:00Z</dcterms:created>
  <dcterms:modified xsi:type="dcterms:W3CDTF">2016-11-21T00:56:00Z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118535v3  099-05101</vt:lpwstr>
  </property>
</Properties>
</file>