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pPr>
        <w:rPr>
          <w:rFonts w:ascii="Verdana" w:hAnsi="Verdana"/>
          <w:sz w:val="22"/>
        </w:rPr>
      </w:pPr>
      <w:r>
        <w:rPr>
          <w:rFonts w:ascii="Verdana" w:hAnsi="Verdana"/>
          <w:sz w:val="22"/>
        </w:rPr>
        <w:t>Date</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Vice President</w:t>
      </w:r>
    </w:p>
    <w:p>
      <w:pPr>
        <w:rPr>
          <w:rFonts w:ascii="Verdana" w:hAnsi="Verdana"/>
          <w:sz w:val="22"/>
        </w:rPr>
      </w:pPr>
      <w:r>
        <w:rPr>
          <w:rFonts w:ascii="Verdana" w:hAnsi="Verdana"/>
          <w:sz w:val="22"/>
        </w:rPr>
        <w:t>_________ Bank</w:t>
      </w:r>
    </w:p>
    <w:p>
      <w:pPr>
        <w:rPr>
          <w:rFonts w:ascii="Verdana" w:hAnsi="Verdana"/>
          <w:sz w:val="22"/>
        </w:rPr>
      </w:pPr>
      <w:r>
        <w:rPr>
          <w:rFonts w:ascii="Verdana" w:hAnsi="Verdana"/>
          <w:sz w:val="22"/>
        </w:rPr>
        <w:t>Address</w:t>
      </w:r>
    </w:p>
    <w:p>
      <w:pPr>
        <w:rPr>
          <w:rFonts w:ascii="Verdana" w:hAnsi="Verdana"/>
          <w:sz w:val="22"/>
        </w:rPr>
      </w:pPr>
      <w:r>
        <w:rPr>
          <w:rFonts w:ascii="Verdana" w:hAnsi="Verdana"/>
          <w:sz w:val="22"/>
        </w:rPr>
        <w:t>City, State, Zip</w:t>
      </w:r>
    </w:p>
    <w:p>
      <w:pPr>
        <w:rPr>
          <w:rFonts w:ascii="Verdana" w:hAnsi="Verdana"/>
          <w:sz w:val="22"/>
        </w:rPr>
      </w:pPr>
    </w:p>
    <w:p>
      <w:pPr>
        <w:pStyle w:val="Heading3"/>
        <w:rPr>
          <w:rFonts w:ascii="Verdana" w:hAnsi="Verdana"/>
          <w:b/>
          <w:bCs/>
          <w:i/>
          <w:iCs/>
        </w:rPr>
      </w:pPr>
      <w:r>
        <w:rPr>
          <w:rFonts w:ascii="Verdana" w:hAnsi="Verdana"/>
          <w:b/>
          <w:bCs/>
          <w:i/>
          <w:iCs/>
        </w:rPr>
        <w:t>Re: __</w:t>
      </w:r>
      <w:proofErr w:type="gramStart"/>
      <w:r>
        <w:rPr>
          <w:rFonts w:ascii="Verdana" w:hAnsi="Verdana"/>
          <w:b/>
          <w:bCs/>
          <w:i/>
          <w:iCs/>
        </w:rPr>
        <w:t>_(</w:t>
      </w:r>
      <w:proofErr w:type="gramEnd"/>
      <w:r>
        <w:rPr>
          <w:rFonts w:ascii="Verdana" w:hAnsi="Verdana"/>
          <w:b/>
          <w:bCs/>
          <w:i/>
          <w:iCs/>
        </w:rPr>
        <w:t>Property)____ - Note Purchase</w:t>
      </w:r>
    </w:p>
    <w:p>
      <w:r>
        <w:t xml:space="preserve">      </w:t>
      </w:r>
      <w:r>
        <w:tab/>
      </w:r>
    </w:p>
    <w:p>
      <w:pPr>
        <w:ind w:right="-432"/>
        <w:rPr>
          <w:rFonts w:ascii="Verdana" w:hAnsi="Verdana"/>
          <w:i/>
          <w:sz w:val="22"/>
        </w:rPr>
      </w:pPr>
    </w:p>
    <w:p>
      <w:pPr>
        <w:ind w:right="-432"/>
        <w:rPr>
          <w:rFonts w:ascii="Verdana" w:hAnsi="Verdana"/>
          <w:sz w:val="22"/>
        </w:rPr>
      </w:pPr>
      <w:r>
        <w:rPr>
          <w:rFonts w:ascii="Verdana" w:hAnsi="Verdana"/>
          <w:sz w:val="22"/>
        </w:rPr>
        <w:t>Dear _______:</w:t>
      </w:r>
    </w:p>
    <w:p>
      <w:pPr>
        <w:ind w:right="-432"/>
        <w:rPr>
          <w:rFonts w:ascii="Verdana" w:hAnsi="Verdana"/>
          <w:sz w:val="22"/>
        </w:rPr>
      </w:pPr>
    </w:p>
    <w:p>
      <w:pPr>
        <w:pStyle w:val="BodyText2"/>
        <w:rPr>
          <w:rFonts w:ascii="Verdana" w:hAnsi="Verdana"/>
        </w:rPr>
      </w:pPr>
      <w:r>
        <w:rPr>
          <w:rFonts w:ascii="Verdana" w:hAnsi="Verdana"/>
        </w:rPr>
        <w:t xml:space="preserve">__________________ is pleased to submit this Letter of Intent.  We have reviewed the loan and collateral on ____________________ and are prepared move forward with a definitive agreement.  _____________________ </w:t>
      </w:r>
      <w:proofErr w:type="gramStart"/>
      <w:r>
        <w:rPr>
          <w:rFonts w:ascii="Verdana" w:hAnsi="Verdana"/>
        </w:rPr>
        <w:t>and/or</w:t>
      </w:r>
      <w:proofErr w:type="gramEnd"/>
      <w:r>
        <w:rPr>
          <w:rFonts w:ascii="Verdana" w:hAnsi="Verdana"/>
        </w:rPr>
        <w:t xml:space="preserve"> their assigns (“Purchaser”) is willing to purchase the below referenced loan on the terms and conditions contained herein.  </w:t>
      </w:r>
    </w:p>
    <w:p>
      <w:pPr>
        <w:ind w:right="-432"/>
        <w:rPr>
          <w:rFonts w:ascii="Verdana" w:hAnsi="Verdana"/>
          <w:sz w:val="16"/>
        </w:rPr>
      </w:pPr>
    </w:p>
    <w:tbl>
      <w:tblPr>
        <w:tblW w:w="9198" w:type="dxa"/>
        <w:tblLayout w:type="fixed"/>
        <w:tblLook w:val="0000" w:firstRow="0" w:lastRow="0" w:firstColumn="0" w:lastColumn="0" w:noHBand="0" w:noVBand="0"/>
      </w:tblPr>
      <w:tblGrid>
        <w:gridCol w:w="3078"/>
        <w:gridCol w:w="6120"/>
      </w:tblGrid>
      <w:tr>
        <w:tc>
          <w:tcPr>
            <w:tcW w:w="3078" w:type="dxa"/>
          </w:tcPr>
          <w:p>
            <w:pPr>
              <w:rPr>
                <w:rFonts w:ascii="Verdana" w:hAnsi="Verdana"/>
                <w:b/>
                <w:sz w:val="22"/>
              </w:rPr>
            </w:pPr>
            <w:r>
              <w:rPr>
                <w:rFonts w:ascii="Verdana" w:hAnsi="Verdana"/>
                <w:b/>
                <w:sz w:val="22"/>
              </w:rPr>
              <w:t>1.   Loan:</w:t>
            </w:r>
          </w:p>
        </w:tc>
        <w:tc>
          <w:tcPr>
            <w:tcW w:w="6120" w:type="dxa"/>
          </w:tcPr>
          <w:p>
            <w:pPr>
              <w:tabs>
                <w:tab w:val="left" w:pos="360"/>
                <w:tab w:val="left" w:pos="2340"/>
              </w:tabs>
              <w:jc w:val="both"/>
              <w:rPr>
                <w:rFonts w:ascii="Verdana" w:hAnsi="Verdana"/>
                <w:sz w:val="22"/>
              </w:rPr>
            </w:pPr>
            <w:r>
              <w:rPr>
                <w:rFonts w:ascii="Verdana" w:hAnsi="Verdana"/>
                <w:sz w:val="22"/>
              </w:rPr>
              <w:t>First Mortgage Interest in _</w:t>
            </w:r>
            <w:proofErr w:type="gramStart"/>
            <w:r>
              <w:rPr>
                <w:rFonts w:ascii="Verdana" w:hAnsi="Verdana"/>
                <w:sz w:val="22"/>
              </w:rPr>
              <w:t>_(</w:t>
            </w:r>
            <w:proofErr w:type="gramEnd"/>
            <w:r>
              <w:rPr>
                <w:rFonts w:ascii="Verdana" w:hAnsi="Verdana"/>
                <w:sz w:val="22"/>
              </w:rPr>
              <w:t xml:space="preserve">Property)______ located ___(Address)_____ . </w:t>
            </w:r>
          </w:p>
        </w:tc>
      </w:tr>
      <w:tr>
        <w:tc>
          <w:tcPr>
            <w:tcW w:w="3078" w:type="dxa"/>
          </w:tcPr>
          <w:p>
            <w:pPr>
              <w:tabs>
                <w:tab w:val="left" w:pos="360"/>
                <w:tab w:val="left" w:pos="2340"/>
              </w:tabs>
              <w:rPr>
                <w:rFonts w:ascii="Verdana" w:hAnsi="Verdana"/>
                <w:b/>
                <w:sz w:val="22"/>
              </w:rPr>
            </w:pPr>
          </w:p>
        </w:tc>
        <w:tc>
          <w:tcPr>
            <w:tcW w:w="6120" w:type="dxa"/>
          </w:tcPr>
          <w:p>
            <w:pPr>
              <w:tabs>
                <w:tab w:val="left" w:pos="360"/>
                <w:tab w:val="left" w:pos="2340"/>
              </w:tabs>
              <w:jc w:val="both"/>
              <w:rPr>
                <w:rFonts w:ascii="Verdana" w:hAnsi="Verdana"/>
                <w:sz w:val="22"/>
              </w:rPr>
            </w:pPr>
          </w:p>
        </w:tc>
      </w:tr>
      <w:tr>
        <w:tc>
          <w:tcPr>
            <w:tcW w:w="3078" w:type="dxa"/>
          </w:tcPr>
          <w:p>
            <w:pPr>
              <w:tabs>
                <w:tab w:val="left" w:pos="360"/>
                <w:tab w:val="left" w:pos="2340"/>
              </w:tabs>
              <w:rPr>
                <w:rFonts w:ascii="Verdana" w:hAnsi="Verdana"/>
                <w:sz w:val="22"/>
              </w:rPr>
            </w:pPr>
            <w:r>
              <w:rPr>
                <w:rFonts w:ascii="Verdana" w:hAnsi="Verdana"/>
                <w:b/>
                <w:sz w:val="22"/>
              </w:rPr>
              <w:t>2.</w:t>
            </w:r>
            <w:r>
              <w:rPr>
                <w:rFonts w:ascii="Verdana" w:hAnsi="Verdana"/>
                <w:b/>
                <w:sz w:val="22"/>
              </w:rPr>
              <w:tab/>
              <w:t>Purchase Price:</w:t>
            </w:r>
            <w:r>
              <w:rPr>
                <w:rFonts w:ascii="Verdana" w:hAnsi="Verdana"/>
                <w:sz w:val="22"/>
              </w:rPr>
              <w:tab/>
            </w:r>
          </w:p>
        </w:tc>
        <w:tc>
          <w:tcPr>
            <w:tcW w:w="6120" w:type="dxa"/>
          </w:tcPr>
          <w:p>
            <w:pPr>
              <w:tabs>
                <w:tab w:val="left" w:pos="360"/>
                <w:tab w:val="left" w:pos="2340"/>
              </w:tabs>
              <w:jc w:val="both"/>
              <w:rPr>
                <w:rFonts w:ascii="Verdana" w:hAnsi="Verdana"/>
                <w:sz w:val="22"/>
              </w:rPr>
            </w:pPr>
            <w:r>
              <w:rPr>
                <w:rFonts w:ascii="Verdana" w:hAnsi="Verdana"/>
                <w:sz w:val="22"/>
              </w:rPr>
              <w:t>___% of the existing loan balance of the _____ unsold units. Exact price shall be agreed upon at contract execution with the price estimated to be $____________.</w:t>
            </w:r>
          </w:p>
          <w:p>
            <w:pPr>
              <w:tabs>
                <w:tab w:val="left" w:pos="360"/>
                <w:tab w:val="left" w:pos="2340"/>
              </w:tabs>
              <w:jc w:val="both"/>
              <w:rPr>
                <w:rFonts w:ascii="Verdana" w:hAnsi="Verdana"/>
                <w:sz w:val="22"/>
              </w:rPr>
            </w:pPr>
          </w:p>
          <w:p>
            <w:pPr>
              <w:tabs>
                <w:tab w:val="left" w:pos="360"/>
                <w:tab w:val="left" w:pos="2340"/>
              </w:tabs>
              <w:jc w:val="both"/>
              <w:rPr>
                <w:rFonts w:ascii="Verdana" w:hAnsi="Verdana"/>
                <w:sz w:val="22"/>
              </w:rPr>
            </w:pPr>
            <w:r>
              <w:rPr>
                <w:rFonts w:ascii="Verdana" w:hAnsi="Verdana"/>
                <w:sz w:val="22"/>
              </w:rPr>
              <w:t xml:space="preserve">The Purchase Price shall be subject to normal </w:t>
            </w:r>
            <w:proofErr w:type="spellStart"/>
            <w:r>
              <w:rPr>
                <w:rFonts w:ascii="Verdana" w:hAnsi="Verdana"/>
                <w:sz w:val="22"/>
              </w:rPr>
              <w:t>prorations</w:t>
            </w:r>
            <w:proofErr w:type="spellEnd"/>
            <w:r>
              <w:rPr>
                <w:rFonts w:ascii="Verdana" w:hAnsi="Verdana"/>
                <w:sz w:val="22"/>
              </w:rPr>
              <w:t>, including but not limited to taxes, insurance, expense items, security deposits, etc.</w:t>
            </w:r>
          </w:p>
        </w:tc>
      </w:tr>
      <w:tr>
        <w:tc>
          <w:tcPr>
            <w:tcW w:w="3078" w:type="dxa"/>
          </w:tcPr>
          <w:p>
            <w:pPr>
              <w:tabs>
                <w:tab w:val="left" w:pos="360"/>
                <w:tab w:val="left" w:pos="2340"/>
              </w:tabs>
              <w:rPr>
                <w:rFonts w:ascii="Verdana" w:hAnsi="Verdana"/>
                <w:b/>
                <w:sz w:val="22"/>
              </w:rPr>
            </w:pPr>
          </w:p>
        </w:tc>
        <w:tc>
          <w:tcPr>
            <w:tcW w:w="6120" w:type="dxa"/>
          </w:tcPr>
          <w:p>
            <w:pPr>
              <w:tabs>
                <w:tab w:val="left" w:pos="360"/>
                <w:tab w:val="left" w:pos="2340"/>
              </w:tabs>
              <w:jc w:val="both"/>
              <w:rPr>
                <w:rFonts w:ascii="Verdana" w:hAnsi="Verdana"/>
                <w:sz w:val="22"/>
              </w:rPr>
            </w:pPr>
          </w:p>
        </w:tc>
      </w:tr>
      <w:tr>
        <w:tc>
          <w:tcPr>
            <w:tcW w:w="3078" w:type="dxa"/>
          </w:tcPr>
          <w:p>
            <w:pPr>
              <w:tabs>
                <w:tab w:val="left" w:pos="360"/>
                <w:tab w:val="left" w:pos="2340"/>
              </w:tabs>
              <w:rPr>
                <w:rFonts w:ascii="Verdana" w:hAnsi="Verdana"/>
                <w:sz w:val="22"/>
              </w:rPr>
            </w:pPr>
            <w:r>
              <w:rPr>
                <w:rFonts w:ascii="Verdana" w:hAnsi="Verdana"/>
                <w:b/>
                <w:sz w:val="22"/>
              </w:rPr>
              <w:t>3.</w:t>
            </w:r>
            <w:r>
              <w:rPr>
                <w:rFonts w:ascii="Verdana" w:hAnsi="Verdana"/>
                <w:b/>
                <w:sz w:val="22"/>
              </w:rPr>
              <w:tab/>
              <w:t>Earnest Money:</w:t>
            </w:r>
            <w:r>
              <w:rPr>
                <w:rFonts w:ascii="Verdana" w:hAnsi="Verdana"/>
                <w:sz w:val="22"/>
              </w:rPr>
              <w:tab/>
            </w:r>
          </w:p>
        </w:tc>
        <w:tc>
          <w:tcPr>
            <w:tcW w:w="6120" w:type="dxa"/>
          </w:tcPr>
          <w:p>
            <w:pPr>
              <w:tabs>
                <w:tab w:val="left" w:pos="360"/>
                <w:tab w:val="left" w:pos="2340"/>
              </w:tabs>
              <w:jc w:val="both"/>
              <w:rPr>
                <w:rFonts w:ascii="Verdana" w:hAnsi="Verdana"/>
                <w:sz w:val="22"/>
              </w:rPr>
            </w:pPr>
            <w:r>
              <w:rPr>
                <w:rFonts w:ascii="Verdana" w:hAnsi="Verdana"/>
                <w:sz w:val="22"/>
              </w:rPr>
              <w:t>$_____  (we did 1.5% of the purchase price, but we have a long working history with the bank)</w:t>
            </w:r>
          </w:p>
        </w:tc>
      </w:tr>
      <w:tr>
        <w:tc>
          <w:tcPr>
            <w:tcW w:w="3078" w:type="dxa"/>
          </w:tcPr>
          <w:p>
            <w:pPr>
              <w:tabs>
                <w:tab w:val="left" w:pos="360"/>
                <w:tab w:val="left" w:pos="2340"/>
              </w:tabs>
              <w:rPr>
                <w:rFonts w:ascii="Verdana" w:hAnsi="Verdana"/>
                <w:b/>
                <w:sz w:val="22"/>
              </w:rPr>
            </w:pPr>
          </w:p>
        </w:tc>
        <w:tc>
          <w:tcPr>
            <w:tcW w:w="6120" w:type="dxa"/>
          </w:tcPr>
          <w:p>
            <w:pPr>
              <w:tabs>
                <w:tab w:val="left" w:pos="360"/>
                <w:tab w:val="left" w:pos="2340"/>
              </w:tabs>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4.</w:t>
            </w:r>
            <w:r>
              <w:rPr>
                <w:rFonts w:ascii="Verdana" w:hAnsi="Verdana"/>
                <w:b/>
                <w:sz w:val="22"/>
              </w:rPr>
              <w:tab/>
              <w:t>Closing:</w:t>
            </w:r>
          </w:p>
        </w:tc>
        <w:tc>
          <w:tcPr>
            <w:tcW w:w="6120" w:type="dxa"/>
          </w:tcPr>
          <w:p>
            <w:pPr>
              <w:tabs>
                <w:tab w:val="left" w:pos="360"/>
                <w:tab w:val="left" w:pos="2340"/>
              </w:tabs>
              <w:ind w:right="-72"/>
              <w:jc w:val="both"/>
              <w:rPr>
                <w:rFonts w:ascii="Verdana" w:hAnsi="Verdana"/>
                <w:sz w:val="22"/>
              </w:rPr>
            </w:pPr>
            <w:r>
              <w:rPr>
                <w:rFonts w:ascii="Verdana" w:hAnsi="Verdana"/>
                <w:sz w:val="22"/>
              </w:rPr>
              <w:t>The Closing of this transaction will occur no later than ______________, 20__.</w:t>
            </w:r>
          </w:p>
        </w:tc>
      </w:tr>
      <w:tr>
        <w:tc>
          <w:tcPr>
            <w:tcW w:w="3078" w:type="dxa"/>
          </w:tcPr>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5.</w:t>
            </w:r>
            <w:r>
              <w:rPr>
                <w:rFonts w:ascii="Verdana" w:hAnsi="Verdana"/>
                <w:b/>
                <w:sz w:val="22"/>
              </w:rPr>
              <w:tab/>
              <w:t>Closing Costs:</w:t>
            </w:r>
          </w:p>
        </w:tc>
        <w:tc>
          <w:tcPr>
            <w:tcW w:w="6120" w:type="dxa"/>
          </w:tcPr>
          <w:p>
            <w:pPr>
              <w:tabs>
                <w:tab w:val="left" w:pos="360"/>
                <w:tab w:val="left" w:pos="2340"/>
              </w:tabs>
              <w:ind w:right="-72"/>
              <w:jc w:val="both"/>
              <w:rPr>
                <w:rFonts w:ascii="Verdana" w:hAnsi="Verdana"/>
                <w:sz w:val="22"/>
              </w:rPr>
            </w:pPr>
            <w:r>
              <w:rPr>
                <w:rFonts w:ascii="Verdana" w:hAnsi="Verdana"/>
                <w:sz w:val="22"/>
              </w:rPr>
              <w:t xml:space="preserve">Seller will pay any document stamps, transfer tax, and other conveyance fees associated with the transaction.  Each party will pay their respective attorney’s fees. Real estate taxes, property insurance, rents, and any prepaid expenses shall be pro-rated to the day of the </w:t>
            </w:r>
            <w:r>
              <w:rPr>
                <w:rFonts w:ascii="Verdana" w:hAnsi="Verdana"/>
                <w:sz w:val="22"/>
              </w:rPr>
              <w:lastRenderedPageBreak/>
              <w:t>closing.</w:t>
            </w:r>
          </w:p>
        </w:tc>
      </w:tr>
      <w:tr>
        <w:tc>
          <w:tcPr>
            <w:tcW w:w="3078" w:type="dxa"/>
          </w:tcPr>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6.</w:t>
            </w:r>
            <w:r>
              <w:rPr>
                <w:rFonts w:ascii="Verdana" w:hAnsi="Verdana"/>
                <w:b/>
                <w:sz w:val="22"/>
              </w:rPr>
              <w:tab/>
              <w:t>Confidentiality:</w:t>
            </w:r>
          </w:p>
        </w:tc>
        <w:tc>
          <w:tcPr>
            <w:tcW w:w="6120" w:type="dxa"/>
          </w:tcPr>
          <w:p>
            <w:pPr>
              <w:tabs>
                <w:tab w:val="left" w:pos="360"/>
                <w:tab w:val="left" w:pos="2340"/>
              </w:tabs>
              <w:ind w:right="-72"/>
              <w:jc w:val="both"/>
              <w:rPr>
                <w:rFonts w:ascii="Verdana" w:hAnsi="Verdana"/>
                <w:sz w:val="22"/>
              </w:rPr>
            </w:pPr>
            <w:r>
              <w:rPr>
                <w:rFonts w:ascii="Verdana" w:hAnsi="Verdana"/>
                <w:sz w:val="22"/>
              </w:rPr>
              <w:t>Neither party shall disclose the terms and conditions of this Letter of Intent to any other party without the mutual written consent of Seller and Purchaser, except to those parties acting in a fiduciary capacity (i.e., legal representatives, financial institutions, authorized agents, partners, etc.) who shall be entitled to the knowledge of such for the mutual benefit of Purchaser and Seller.</w:t>
            </w:r>
          </w:p>
        </w:tc>
      </w:tr>
      <w:tr>
        <w:tc>
          <w:tcPr>
            <w:tcW w:w="3078" w:type="dxa"/>
          </w:tcPr>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7. Feasibility Period:</w:t>
            </w:r>
          </w:p>
        </w:tc>
        <w:tc>
          <w:tcPr>
            <w:tcW w:w="6120" w:type="dxa"/>
          </w:tcPr>
          <w:p>
            <w:pPr>
              <w:tabs>
                <w:tab w:val="left" w:pos="360"/>
                <w:tab w:val="left" w:pos="2340"/>
              </w:tabs>
              <w:ind w:right="-72"/>
              <w:jc w:val="both"/>
              <w:rPr>
                <w:rFonts w:ascii="Verdana" w:hAnsi="Verdana"/>
                <w:sz w:val="22"/>
              </w:rPr>
            </w:pPr>
            <w:r>
              <w:rPr>
                <w:rFonts w:ascii="Verdana" w:hAnsi="Verdana"/>
                <w:sz w:val="22"/>
              </w:rPr>
              <w:t xml:space="preserve">Upon execution of this Letter of Intent, Purchaser and Seller shall negotiate a binding Purchase and Sale Agreement. Purchaser shall have through _______________, 20__ to inspect and investigate the loan documents, collateral, etc. In order to expedite the inspection process, Seller agrees to furnish Buyer with all relevant documents and information pertaining to the property in its possession, including but not limited to the items listed on Exhibit “A” attached hereto, within two (2) days from the Seller’s execution of this letter of intent.  </w:t>
            </w:r>
          </w:p>
        </w:tc>
      </w:tr>
      <w:tr>
        <w:tc>
          <w:tcPr>
            <w:tcW w:w="3078" w:type="dxa"/>
          </w:tcPr>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8. Survey:</w:t>
            </w:r>
          </w:p>
        </w:tc>
        <w:tc>
          <w:tcPr>
            <w:tcW w:w="6120" w:type="dxa"/>
          </w:tcPr>
          <w:p>
            <w:pPr>
              <w:tabs>
                <w:tab w:val="left" w:pos="360"/>
                <w:tab w:val="left" w:pos="2340"/>
              </w:tabs>
              <w:ind w:right="-72"/>
              <w:jc w:val="both"/>
              <w:rPr>
                <w:rFonts w:ascii="Verdana" w:hAnsi="Verdana"/>
                <w:sz w:val="22"/>
              </w:rPr>
            </w:pPr>
            <w:r>
              <w:rPr>
                <w:rFonts w:ascii="Verdana" w:hAnsi="Verdana"/>
                <w:sz w:val="22"/>
              </w:rPr>
              <w:t>Seller will cause to be delivered to Purchaser, at Seller’s sole cost and expense, an updated and accurate plat of survey of the Property.  The Survey shall meet the “Minimum Standard Detail Requirement for ALTA/ACSM Land Title Surveys” adopted by the American Land Title Association, the American Congress on Surveying and Mapping and the National Society of Professional Surveyors and shall contain such other information as Purchaser or Purchaser’s lender may reasonably request.</w:t>
            </w:r>
          </w:p>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9. Representations &amp; Warranties:</w:t>
            </w:r>
          </w:p>
        </w:tc>
        <w:tc>
          <w:tcPr>
            <w:tcW w:w="6120" w:type="dxa"/>
          </w:tcPr>
          <w:p>
            <w:pPr>
              <w:tabs>
                <w:tab w:val="left" w:pos="360"/>
                <w:tab w:val="left" w:pos="2340"/>
              </w:tabs>
              <w:ind w:right="-72"/>
              <w:jc w:val="both"/>
              <w:rPr>
                <w:rFonts w:ascii="Verdana" w:hAnsi="Verdana"/>
                <w:sz w:val="22"/>
              </w:rPr>
            </w:pPr>
            <w:r>
              <w:rPr>
                <w:rFonts w:ascii="Verdana" w:hAnsi="Verdana"/>
                <w:sz w:val="22"/>
              </w:rPr>
              <w:t xml:space="preserve">Seller will make, in the Agreement of Purchase and </w:t>
            </w:r>
            <w:smartTag w:uri="urn:schemas-microsoft-com:office:smarttags" w:element="place">
              <w:smartTag w:uri="urn:schemas-microsoft-com:office:smarttags" w:element="City">
                <w:r>
                  <w:rPr>
                    <w:rFonts w:ascii="Verdana" w:hAnsi="Verdana"/>
                    <w:sz w:val="22"/>
                  </w:rPr>
                  <w:t>Sale</w:t>
                </w:r>
              </w:smartTag>
            </w:smartTag>
            <w:r>
              <w:rPr>
                <w:rFonts w:ascii="Verdana" w:hAnsi="Verdana"/>
                <w:sz w:val="22"/>
              </w:rPr>
              <w:t>, customary representations and warranties regarding the Seller and Property.</w:t>
            </w:r>
          </w:p>
        </w:tc>
      </w:tr>
      <w:tr>
        <w:tc>
          <w:tcPr>
            <w:tcW w:w="3078" w:type="dxa"/>
          </w:tcPr>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10. Closing Documents:</w:t>
            </w:r>
          </w:p>
        </w:tc>
        <w:tc>
          <w:tcPr>
            <w:tcW w:w="6120" w:type="dxa"/>
          </w:tcPr>
          <w:p>
            <w:pPr>
              <w:tabs>
                <w:tab w:val="left" w:pos="360"/>
                <w:tab w:val="left" w:pos="2340"/>
              </w:tabs>
              <w:ind w:right="-72"/>
              <w:jc w:val="both"/>
              <w:rPr>
                <w:rFonts w:ascii="Verdana" w:hAnsi="Verdana"/>
                <w:sz w:val="22"/>
              </w:rPr>
            </w:pPr>
            <w:r>
              <w:rPr>
                <w:rFonts w:ascii="Verdana" w:hAnsi="Verdana"/>
                <w:sz w:val="22"/>
              </w:rPr>
              <w:t>At closing, Seller shall furnish Buyer with a general warranty deed, an owner’s and lender’s policy of title insurance and a bill of sale.</w:t>
            </w:r>
          </w:p>
        </w:tc>
      </w:tr>
      <w:tr>
        <w:tc>
          <w:tcPr>
            <w:tcW w:w="3078" w:type="dxa"/>
          </w:tcPr>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t>11. Financing:</w:t>
            </w:r>
          </w:p>
        </w:tc>
        <w:tc>
          <w:tcPr>
            <w:tcW w:w="6120" w:type="dxa"/>
          </w:tcPr>
          <w:p>
            <w:pPr>
              <w:tabs>
                <w:tab w:val="left" w:pos="360"/>
                <w:tab w:val="left" w:pos="2340"/>
              </w:tabs>
              <w:ind w:right="-72"/>
              <w:jc w:val="both"/>
              <w:rPr>
                <w:rFonts w:ascii="Verdana" w:hAnsi="Verdana"/>
                <w:sz w:val="22"/>
              </w:rPr>
            </w:pPr>
            <w:r>
              <w:rPr>
                <w:rFonts w:ascii="Verdana" w:hAnsi="Verdana"/>
                <w:sz w:val="22"/>
              </w:rPr>
              <w:t xml:space="preserve">Seller will finance 65% of the purchase price on a non-recourse basis for a 24-month term on an interest only basis at interest rate equal to the Prime Rate plus quarter percent.  A 12 month interest reserve will be deposited by the buyer.  </w:t>
            </w:r>
          </w:p>
          <w:p>
            <w:pPr>
              <w:tabs>
                <w:tab w:val="left" w:pos="360"/>
                <w:tab w:val="left" w:pos="2340"/>
              </w:tabs>
              <w:ind w:right="-72"/>
              <w:jc w:val="both"/>
              <w:rPr>
                <w:rFonts w:ascii="Verdana" w:hAnsi="Verdana"/>
                <w:sz w:val="22"/>
              </w:rPr>
            </w:pPr>
          </w:p>
        </w:tc>
      </w:tr>
      <w:tr>
        <w:tc>
          <w:tcPr>
            <w:tcW w:w="3078" w:type="dxa"/>
          </w:tcPr>
          <w:p>
            <w:pPr>
              <w:tabs>
                <w:tab w:val="left" w:pos="360"/>
                <w:tab w:val="left" w:pos="2340"/>
              </w:tabs>
              <w:ind w:right="-72"/>
              <w:rPr>
                <w:rFonts w:ascii="Verdana" w:hAnsi="Verdana"/>
                <w:b/>
                <w:sz w:val="22"/>
              </w:rPr>
            </w:pPr>
            <w:r>
              <w:rPr>
                <w:rFonts w:ascii="Verdana" w:hAnsi="Verdana"/>
                <w:b/>
                <w:sz w:val="22"/>
              </w:rPr>
              <w:lastRenderedPageBreak/>
              <w:t>12.  Unit Completion:</w:t>
            </w:r>
          </w:p>
          <w:p>
            <w:pPr>
              <w:tabs>
                <w:tab w:val="left" w:pos="360"/>
                <w:tab w:val="left" w:pos="2340"/>
              </w:tabs>
              <w:ind w:right="-72"/>
              <w:rPr>
                <w:rFonts w:ascii="Verdana" w:hAnsi="Verdana"/>
                <w:b/>
                <w:sz w:val="22"/>
              </w:rPr>
            </w:pPr>
          </w:p>
        </w:tc>
        <w:tc>
          <w:tcPr>
            <w:tcW w:w="6120" w:type="dxa"/>
          </w:tcPr>
          <w:p>
            <w:pPr>
              <w:tabs>
                <w:tab w:val="left" w:pos="360"/>
                <w:tab w:val="left" w:pos="2340"/>
              </w:tabs>
              <w:ind w:right="-72"/>
              <w:jc w:val="both"/>
              <w:rPr>
                <w:rFonts w:ascii="Verdana" w:hAnsi="Verdana"/>
                <w:sz w:val="22"/>
              </w:rPr>
            </w:pPr>
            <w:r>
              <w:rPr>
                <w:rFonts w:ascii="Verdana" w:hAnsi="Verdana"/>
                <w:sz w:val="22"/>
              </w:rPr>
              <w:t xml:space="preserve">All collateral shall be completed and have current Certificates of Occupancy.  </w:t>
            </w:r>
          </w:p>
        </w:tc>
      </w:tr>
    </w:tbl>
    <w:p>
      <w:pPr>
        <w:tabs>
          <w:tab w:val="left" w:pos="360"/>
          <w:tab w:val="left" w:pos="2340"/>
        </w:tabs>
        <w:ind w:right="-72"/>
        <w:jc w:val="both"/>
        <w:rPr>
          <w:rFonts w:ascii="Verdana" w:hAnsi="Verdana"/>
          <w:sz w:val="22"/>
        </w:rPr>
      </w:pPr>
    </w:p>
    <w:p>
      <w:pPr>
        <w:pStyle w:val="BodyText"/>
        <w:rPr>
          <w:rFonts w:ascii="Verdana" w:hAnsi="Verdana"/>
        </w:rPr>
      </w:pPr>
      <w:r>
        <w:rPr>
          <w:rFonts w:ascii="Verdana" w:hAnsi="Verdana"/>
        </w:rPr>
        <w:t>This letter of intent is not intended to be a binding contract and is subject to the preparation and execution of a definitive Purchase and Sale Agreement containing terms and conditions mutually acceptable to Purchaser and Seller.  Seller agrees not to negotiate for the sale or other disposition of the Property to any other party during the period a Purchase and Sale Agreement is being negotiated.</w:t>
      </w:r>
    </w:p>
    <w:p>
      <w:pPr>
        <w:tabs>
          <w:tab w:val="left" w:pos="360"/>
          <w:tab w:val="left" w:pos="2340"/>
        </w:tabs>
        <w:ind w:right="-72"/>
        <w:jc w:val="both"/>
        <w:rPr>
          <w:rFonts w:ascii="Verdana" w:hAnsi="Verdana"/>
          <w:sz w:val="22"/>
        </w:rPr>
      </w:pPr>
    </w:p>
    <w:p>
      <w:pPr>
        <w:tabs>
          <w:tab w:val="left" w:pos="360"/>
          <w:tab w:val="left" w:pos="2340"/>
        </w:tabs>
        <w:ind w:right="-72"/>
        <w:jc w:val="both"/>
        <w:rPr>
          <w:rFonts w:ascii="Verdana" w:hAnsi="Verdana"/>
          <w:sz w:val="22"/>
        </w:rPr>
      </w:pPr>
    </w:p>
    <w:p>
      <w:pPr>
        <w:tabs>
          <w:tab w:val="left" w:pos="360"/>
          <w:tab w:val="left" w:pos="2340"/>
        </w:tabs>
        <w:ind w:right="-72"/>
        <w:jc w:val="both"/>
        <w:rPr>
          <w:rFonts w:ascii="Verdana" w:hAnsi="Verdana"/>
          <w:sz w:val="22"/>
        </w:rPr>
      </w:pPr>
      <w:r>
        <w:rPr>
          <w:rFonts w:ascii="Verdana" w:hAnsi="Verdana"/>
          <w:sz w:val="22"/>
        </w:rPr>
        <w:t>Please signify your agreement to the basic terms set forth in this letter of intent by executing where indicated below and delivering this letter to Purchaser by 5:00 p.m. Eastern Standard time on _________, 20__.</w:t>
      </w:r>
    </w:p>
    <w:p>
      <w:pPr>
        <w:tabs>
          <w:tab w:val="left" w:pos="360"/>
          <w:tab w:val="left" w:pos="2340"/>
        </w:tabs>
        <w:ind w:right="-72"/>
        <w:jc w:val="both"/>
        <w:rPr>
          <w:rFonts w:ascii="Verdana" w:hAnsi="Verdana"/>
          <w:sz w:val="22"/>
        </w:rPr>
      </w:pPr>
    </w:p>
    <w:p>
      <w:pPr>
        <w:tabs>
          <w:tab w:val="left" w:pos="360"/>
          <w:tab w:val="left" w:pos="2340"/>
        </w:tabs>
        <w:ind w:right="-72"/>
        <w:jc w:val="both"/>
        <w:rPr>
          <w:rFonts w:ascii="Verdana" w:hAnsi="Verdana"/>
          <w:sz w:val="22"/>
        </w:rPr>
      </w:pPr>
      <w:r>
        <w:rPr>
          <w:rFonts w:ascii="Verdana" w:hAnsi="Verdana"/>
          <w:sz w:val="22"/>
        </w:rPr>
        <w:t>Sincerely yours,</w:t>
      </w:r>
    </w:p>
    <w:p>
      <w:pPr>
        <w:tabs>
          <w:tab w:val="left" w:pos="360"/>
          <w:tab w:val="left" w:pos="2340"/>
        </w:tabs>
        <w:ind w:right="-72"/>
        <w:rPr>
          <w:rFonts w:ascii="Verdana" w:hAnsi="Verdana"/>
          <w:sz w:val="22"/>
        </w:rPr>
      </w:pPr>
    </w:p>
    <w:p>
      <w:pPr>
        <w:tabs>
          <w:tab w:val="left" w:pos="360"/>
          <w:tab w:val="left" w:pos="2340"/>
        </w:tabs>
        <w:rPr>
          <w:rFonts w:ascii="Verdana" w:hAnsi="Verdana"/>
          <w:sz w:val="22"/>
        </w:rPr>
      </w:pPr>
    </w:p>
    <w:p>
      <w:pPr>
        <w:tabs>
          <w:tab w:val="left" w:pos="360"/>
          <w:tab w:val="left" w:pos="2340"/>
        </w:tabs>
        <w:rPr>
          <w:rFonts w:ascii="Verdana" w:hAnsi="Verdana"/>
          <w:sz w:val="22"/>
        </w:rPr>
      </w:pPr>
    </w:p>
    <w:p>
      <w:pPr>
        <w:tabs>
          <w:tab w:val="left" w:pos="360"/>
          <w:tab w:val="left" w:pos="2340"/>
        </w:tabs>
        <w:ind w:right="-72"/>
        <w:rPr>
          <w:rFonts w:ascii="Verdana" w:hAnsi="Verdana"/>
          <w:sz w:val="22"/>
        </w:rPr>
      </w:pPr>
    </w:p>
    <w:p>
      <w:pPr>
        <w:tabs>
          <w:tab w:val="left" w:pos="360"/>
          <w:tab w:val="left" w:pos="2340"/>
        </w:tabs>
        <w:ind w:right="-72"/>
        <w:rPr>
          <w:rFonts w:ascii="Verdana" w:hAnsi="Verdana"/>
          <w:sz w:val="22"/>
        </w:rPr>
      </w:pPr>
    </w:p>
    <w:p>
      <w:pPr>
        <w:tabs>
          <w:tab w:val="left" w:pos="360"/>
          <w:tab w:val="left" w:pos="2340"/>
        </w:tabs>
        <w:ind w:right="-72"/>
        <w:rPr>
          <w:rFonts w:ascii="Verdana" w:hAnsi="Verdana"/>
          <w:sz w:val="22"/>
        </w:rPr>
      </w:pPr>
      <w:r>
        <w:rPr>
          <w:rFonts w:ascii="Verdana" w:hAnsi="Verdana"/>
          <w:sz w:val="22"/>
        </w:rPr>
        <w:t>Enclosures</w:t>
      </w:r>
    </w:p>
    <w:p>
      <w:pPr>
        <w:tabs>
          <w:tab w:val="left" w:pos="360"/>
          <w:tab w:val="left" w:pos="2340"/>
        </w:tabs>
        <w:ind w:right="-72"/>
        <w:rPr>
          <w:rFonts w:ascii="Verdana" w:hAnsi="Verdana"/>
          <w:sz w:val="22"/>
        </w:rPr>
      </w:pPr>
    </w:p>
    <w:p>
      <w:pPr>
        <w:tabs>
          <w:tab w:val="left" w:pos="360"/>
          <w:tab w:val="left" w:pos="2340"/>
        </w:tabs>
        <w:ind w:right="-72"/>
        <w:rPr>
          <w:rFonts w:ascii="Verdana" w:hAnsi="Verdana"/>
          <w:b/>
          <w:bCs/>
          <w:sz w:val="22"/>
          <w:szCs w:val="22"/>
        </w:rPr>
      </w:pPr>
    </w:p>
    <w:p>
      <w:pPr>
        <w:tabs>
          <w:tab w:val="left" w:pos="360"/>
          <w:tab w:val="left" w:pos="2340"/>
        </w:tabs>
        <w:ind w:right="-72"/>
        <w:rPr>
          <w:rFonts w:ascii="Verdana" w:hAnsi="Verdana"/>
          <w:b/>
          <w:bCs/>
          <w:sz w:val="22"/>
          <w:szCs w:val="22"/>
        </w:rPr>
      </w:pPr>
    </w:p>
    <w:p>
      <w:pPr>
        <w:tabs>
          <w:tab w:val="left" w:pos="360"/>
          <w:tab w:val="left" w:pos="2340"/>
        </w:tabs>
        <w:ind w:right="-72"/>
        <w:rPr>
          <w:rFonts w:ascii="Verdana" w:hAnsi="Verdana"/>
          <w:b/>
          <w:bCs/>
          <w:sz w:val="22"/>
          <w:szCs w:val="22"/>
        </w:rPr>
      </w:pPr>
      <w:r>
        <w:rPr>
          <w:rFonts w:ascii="Verdana" w:hAnsi="Verdana"/>
          <w:b/>
          <w:bCs/>
          <w:sz w:val="22"/>
          <w:szCs w:val="22"/>
        </w:rPr>
        <w:t>________________ Bank</w:t>
      </w:r>
    </w:p>
    <w:p>
      <w:pPr>
        <w:tabs>
          <w:tab w:val="left" w:pos="360"/>
          <w:tab w:val="left" w:pos="2340"/>
        </w:tabs>
        <w:ind w:right="-72"/>
        <w:rPr>
          <w:rFonts w:ascii="Verdana" w:hAnsi="Verdana"/>
          <w:b/>
          <w:bCs/>
          <w:sz w:val="22"/>
          <w:szCs w:val="22"/>
        </w:rPr>
      </w:pPr>
      <w:r>
        <w:rPr>
          <w:rFonts w:ascii="Verdana" w:hAnsi="Verdana"/>
          <w:b/>
          <w:bCs/>
          <w:sz w:val="22"/>
          <w:szCs w:val="22"/>
        </w:rPr>
        <w:t>Acknowledged and hereby agreed to:</w:t>
      </w:r>
    </w:p>
    <w:p>
      <w:pPr>
        <w:tabs>
          <w:tab w:val="left" w:pos="360"/>
          <w:tab w:val="left" w:pos="2340"/>
        </w:tabs>
        <w:ind w:right="-72"/>
        <w:rPr>
          <w:rFonts w:ascii="Verdana" w:hAnsi="Verdana"/>
          <w:b/>
          <w:bCs/>
          <w:sz w:val="22"/>
          <w:szCs w:val="22"/>
        </w:rPr>
      </w:pPr>
    </w:p>
    <w:p>
      <w:pPr>
        <w:tabs>
          <w:tab w:val="left" w:pos="360"/>
          <w:tab w:val="left" w:pos="2340"/>
        </w:tabs>
        <w:ind w:right="-72"/>
        <w:rPr>
          <w:rFonts w:ascii="Verdana" w:hAnsi="Verdana"/>
          <w:b/>
          <w:bCs/>
          <w:sz w:val="22"/>
          <w:szCs w:val="22"/>
        </w:rPr>
      </w:pPr>
    </w:p>
    <w:p>
      <w:pPr>
        <w:pStyle w:val="Heading1"/>
        <w:jc w:val="left"/>
        <w:rPr>
          <w:rFonts w:ascii="Verdana" w:hAnsi="Verdana"/>
          <w:u w:val="none"/>
        </w:rPr>
      </w:pPr>
      <w:r>
        <w:rPr>
          <w:rFonts w:ascii="Verdana" w:hAnsi="Verdana"/>
          <w:u w:val="none"/>
        </w:rPr>
        <w:t>By: ______________________________</w:t>
      </w:r>
    </w:p>
    <w:p>
      <w:r>
        <w:tab/>
      </w:r>
      <w:r>
        <w:tab/>
      </w:r>
      <w:r>
        <w:tab/>
      </w:r>
      <w:r>
        <w:tab/>
      </w:r>
    </w:p>
    <w:p>
      <w:pPr>
        <w:rPr>
          <w:rFonts w:ascii="Verdana" w:hAnsi="Verdana"/>
          <w:b/>
          <w:bCs/>
          <w:sz w:val="22"/>
          <w:szCs w:val="22"/>
        </w:rPr>
      </w:pPr>
    </w:p>
    <w:p>
      <w:pPr>
        <w:pStyle w:val="Heading2"/>
        <w:rPr>
          <w:rFonts w:ascii="Verdana" w:hAnsi="Verdana"/>
          <w:color w:val="auto"/>
          <w:sz w:val="22"/>
          <w:szCs w:val="22"/>
        </w:rPr>
      </w:pPr>
      <w:r>
        <w:rPr>
          <w:rFonts w:ascii="Verdana" w:hAnsi="Verdana"/>
          <w:color w:val="auto"/>
          <w:sz w:val="22"/>
          <w:szCs w:val="22"/>
        </w:rPr>
        <w:t>Its: _________________________________</w:t>
      </w:r>
    </w:p>
    <w:p>
      <w:pPr>
        <w:pStyle w:val="Heading2"/>
        <w:rPr>
          <w:rFonts w:ascii="Verdana" w:hAnsi="Verdana"/>
          <w:color w:val="auto"/>
          <w:sz w:val="22"/>
          <w:szCs w:val="22"/>
        </w:rPr>
      </w:pPr>
    </w:p>
    <w:p>
      <w:pPr>
        <w:pStyle w:val="Heading2"/>
        <w:rPr>
          <w:rFonts w:ascii="Verdana" w:hAnsi="Verdana"/>
          <w:color w:val="auto"/>
          <w:sz w:val="22"/>
          <w:szCs w:val="22"/>
        </w:rPr>
      </w:pPr>
      <w:r>
        <w:rPr>
          <w:rFonts w:ascii="Verdana" w:hAnsi="Verdana"/>
          <w:color w:val="auto"/>
          <w:sz w:val="22"/>
          <w:szCs w:val="22"/>
        </w:rPr>
        <w:t>Date: _______________________________</w:t>
      </w:r>
    </w:p>
    <w:p>
      <w:pPr>
        <w:tabs>
          <w:tab w:val="left" w:pos="360"/>
          <w:tab w:val="left" w:pos="2340"/>
        </w:tabs>
        <w:ind w:right="-72"/>
        <w:rPr>
          <w:rFonts w:ascii="Verdana" w:hAnsi="Verdana"/>
          <w:sz w:val="22"/>
          <w:szCs w:val="22"/>
        </w:rPr>
      </w:pPr>
    </w:p>
    <w:p>
      <w:pPr>
        <w:tabs>
          <w:tab w:val="left" w:pos="360"/>
          <w:tab w:val="left" w:pos="2340"/>
        </w:tabs>
        <w:ind w:right="-72"/>
        <w:rPr>
          <w:rFonts w:ascii="Verdana" w:hAnsi="Verdana"/>
          <w:sz w:val="22"/>
          <w:szCs w:val="22"/>
        </w:rPr>
      </w:pPr>
      <w:r>
        <w:rPr>
          <w:rFonts w:ascii="Verdana" w:hAnsi="Verdana"/>
          <w:sz w:val="22"/>
          <w:szCs w:val="22"/>
        </w:rPr>
        <w:br w:type="page"/>
      </w:r>
    </w:p>
    <w:p>
      <w:pPr>
        <w:tabs>
          <w:tab w:val="left" w:pos="360"/>
          <w:tab w:val="left" w:pos="2340"/>
        </w:tabs>
        <w:ind w:right="-72"/>
        <w:jc w:val="center"/>
        <w:rPr>
          <w:rFonts w:ascii="Verdana" w:hAnsi="Verdana"/>
        </w:rPr>
      </w:pPr>
      <w:r>
        <w:rPr>
          <w:rFonts w:ascii="Verdana" w:hAnsi="Verdana"/>
        </w:rPr>
        <w:lastRenderedPageBreak/>
        <w:t xml:space="preserve">EXHIBIT “A” </w:t>
      </w:r>
    </w:p>
    <w:p>
      <w:pPr>
        <w:tabs>
          <w:tab w:val="left" w:pos="360"/>
          <w:tab w:val="left" w:pos="2340"/>
        </w:tabs>
        <w:ind w:right="-72"/>
        <w:jc w:val="both"/>
        <w:rPr>
          <w:rFonts w:ascii="Verdana" w:hAnsi="Verdana"/>
        </w:rPr>
      </w:pPr>
    </w:p>
    <w:p>
      <w:pPr>
        <w:numPr>
          <w:ilvl w:val="12"/>
          <w:numId w:val="0"/>
        </w:numPr>
        <w:tabs>
          <w:tab w:val="left" w:pos="360"/>
          <w:tab w:val="left" w:pos="2340"/>
        </w:tabs>
        <w:ind w:left="360" w:right="-72" w:hanging="360"/>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Operating statements for the last three calendar years.</w:t>
      </w:r>
    </w:p>
    <w:p>
      <w:pPr>
        <w:numPr>
          <w:ilvl w:val="12"/>
          <w:numId w:val="0"/>
        </w:numPr>
        <w:tabs>
          <w:tab w:val="left" w:pos="360"/>
          <w:tab w:val="left" w:pos="2340"/>
        </w:tabs>
        <w:ind w:left="360" w:right="-72" w:hanging="360"/>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Copies of operating and capital budgets for 20__ - present.</w:t>
      </w:r>
    </w:p>
    <w:p>
      <w:pPr>
        <w:numPr>
          <w:ilvl w:val="12"/>
          <w:numId w:val="0"/>
        </w:numPr>
        <w:tabs>
          <w:tab w:val="left" w:pos="360"/>
          <w:tab w:val="left" w:pos="2340"/>
        </w:tabs>
        <w:ind w:left="360" w:right="-72" w:hanging="360"/>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Copies of all tax bills from the period 20__ – 20__</w:t>
      </w:r>
      <w:bookmarkStart w:id="0" w:name="_GoBack"/>
      <w:bookmarkEnd w:id="0"/>
      <w:r>
        <w:rPr>
          <w:rFonts w:ascii="Verdana" w:hAnsi="Verdana"/>
        </w:rPr>
        <w:t>: including, but not limited to Property, personal, rental taxes and special assessments.</w:t>
      </w:r>
    </w:p>
    <w:p>
      <w:pPr>
        <w:numPr>
          <w:ilvl w:val="12"/>
          <w:numId w:val="0"/>
        </w:numPr>
        <w:tabs>
          <w:tab w:val="left" w:pos="360"/>
          <w:tab w:val="left" w:pos="2340"/>
        </w:tabs>
        <w:ind w:left="360" w:right="-72" w:hanging="360"/>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Copies of all service contracts for the property including a list of all vendors and any warranties.</w:t>
      </w:r>
    </w:p>
    <w:p>
      <w:pPr>
        <w:numPr>
          <w:ilvl w:val="12"/>
          <w:numId w:val="0"/>
        </w:numPr>
        <w:tabs>
          <w:tab w:val="left" w:pos="360"/>
          <w:tab w:val="left" w:pos="2340"/>
        </w:tabs>
        <w:ind w:left="360" w:right="-72" w:hanging="360"/>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As-built plans, specifications and site plans.</w:t>
      </w:r>
    </w:p>
    <w:p>
      <w:pPr>
        <w:tabs>
          <w:tab w:val="left" w:pos="360"/>
          <w:tab w:val="left" w:pos="2340"/>
        </w:tabs>
        <w:ind w:right="-72"/>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Existing title policy and survey.</w:t>
      </w:r>
    </w:p>
    <w:p>
      <w:pPr>
        <w:tabs>
          <w:tab w:val="left" w:pos="360"/>
          <w:tab w:val="left" w:pos="2340"/>
        </w:tabs>
        <w:ind w:right="-72"/>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List of major deferred maintenance items.</w:t>
      </w:r>
    </w:p>
    <w:p>
      <w:pPr>
        <w:tabs>
          <w:tab w:val="left" w:pos="360"/>
          <w:tab w:val="left" w:pos="2340"/>
        </w:tabs>
        <w:ind w:right="-72"/>
        <w:jc w:val="both"/>
        <w:rPr>
          <w:rFonts w:ascii="Verdana" w:hAnsi="Verdana"/>
        </w:rPr>
      </w:pPr>
    </w:p>
    <w:p>
      <w:pPr>
        <w:widowControl/>
        <w:numPr>
          <w:ilvl w:val="0"/>
          <w:numId w:val="3"/>
        </w:numPr>
        <w:tabs>
          <w:tab w:val="left" w:pos="360"/>
          <w:tab w:val="left" w:pos="2340"/>
        </w:tabs>
        <w:autoSpaceDE/>
        <w:autoSpaceDN/>
        <w:adjustRightInd/>
        <w:ind w:right="-72"/>
        <w:jc w:val="both"/>
        <w:rPr>
          <w:rFonts w:ascii="Verdana" w:hAnsi="Verdana"/>
        </w:rPr>
      </w:pPr>
      <w:r>
        <w:rPr>
          <w:rFonts w:ascii="Verdana" w:hAnsi="Verdana"/>
        </w:rPr>
        <w:t>Environmental Reports and Engineering Reports done in the past five years.</w:t>
      </w:r>
    </w:p>
    <w:p>
      <w:pPr>
        <w:tabs>
          <w:tab w:val="left" w:pos="360"/>
          <w:tab w:val="left" w:pos="2340"/>
        </w:tabs>
        <w:ind w:right="-72"/>
        <w:jc w:val="both"/>
        <w:rPr>
          <w:rFonts w:ascii="Verdana" w:hAnsi="Verdana"/>
        </w:rPr>
      </w:pPr>
    </w:p>
    <w:p>
      <w:pPr>
        <w:widowControl/>
        <w:numPr>
          <w:ilvl w:val="0"/>
          <w:numId w:val="4"/>
        </w:numPr>
        <w:tabs>
          <w:tab w:val="left" w:pos="360"/>
          <w:tab w:val="left" w:pos="2340"/>
        </w:tabs>
        <w:autoSpaceDE/>
        <w:autoSpaceDN/>
        <w:adjustRightInd/>
        <w:ind w:right="-72"/>
        <w:jc w:val="both"/>
        <w:rPr>
          <w:rFonts w:ascii="Verdana" w:hAnsi="Verdana"/>
        </w:rPr>
      </w:pPr>
      <w:r>
        <w:rPr>
          <w:rFonts w:ascii="Verdana" w:hAnsi="Verdana"/>
        </w:rPr>
        <w:t>Any appraisals done in the last five years.</w:t>
      </w:r>
    </w:p>
    <w:p>
      <w:pPr>
        <w:tabs>
          <w:tab w:val="left" w:pos="360"/>
          <w:tab w:val="left" w:pos="2340"/>
        </w:tabs>
        <w:ind w:right="-72"/>
        <w:jc w:val="both"/>
        <w:rPr>
          <w:rFonts w:ascii="Verdana" w:hAnsi="Verdana"/>
        </w:rPr>
      </w:pPr>
    </w:p>
    <w:p>
      <w:pPr>
        <w:widowControl/>
        <w:numPr>
          <w:ilvl w:val="0"/>
          <w:numId w:val="4"/>
        </w:numPr>
        <w:tabs>
          <w:tab w:val="left" w:pos="360"/>
          <w:tab w:val="left" w:pos="2340"/>
        </w:tabs>
        <w:autoSpaceDE/>
        <w:autoSpaceDN/>
        <w:adjustRightInd/>
        <w:ind w:right="-72"/>
        <w:jc w:val="both"/>
        <w:rPr>
          <w:rFonts w:ascii="Verdana" w:hAnsi="Verdana"/>
        </w:rPr>
      </w:pPr>
      <w:r>
        <w:rPr>
          <w:rFonts w:ascii="Verdana" w:hAnsi="Verdana"/>
        </w:rPr>
        <w:t>A detailed list of all equipment at each facility.</w:t>
      </w:r>
    </w:p>
    <w:p>
      <w:pPr>
        <w:tabs>
          <w:tab w:val="left" w:pos="360"/>
          <w:tab w:val="left" w:pos="2340"/>
        </w:tabs>
        <w:ind w:right="-72"/>
        <w:jc w:val="both"/>
        <w:rPr>
          <w:rFonts w:ascii="Verdana" w:hAnsi="Verdana"/>
        </w:rPr>
      </w:pPr>
    </w:p>
    <w:p>
      <w:pPr>
        <w:widowControl/>
        <w:numPr>
          <w:ilvl w:val="0"/>
          <w:numId w:val="4"/>
        </w:numPr>
        <w:tabs>
          <w:tab w:val="left" w:pos="360"/>
          <w:tab w:val="left" w:pos="2340"/>
        </w:tabs>
        <w:autoSpaceDE/>
        <w:autoSpaceDN/>
        <w:adjustRightInd/>
        <w:ind w:right="-72"/>
        <w:jc w:val="both"/>
        <w:rPr>
          <w:rFonts w:ascii="Verdana" w:hAnsi="Verdana"/>
        </w:rPr>
      </w:pPr>
      <w:r>
        <w:rPr>
          <w:rFonts w:ascii="Verdana" w:hAnsi="Verdana"/>
        </w:rPr>
        <w:t>Loan documents and all amendments.</w:t>
      </w:r>
    </w:p>
    <w:p>
      <w:pPr>
        <w:tabs>
          <w:tab w:val="left" w:pos="360"/>
          <w:tab w:val="left" w:pos="2340"/>
        </w:tabs>
        <w:ind w:right="-72"/>
        <w:jc w:val="both"/>
        <w:rPr>
          <w:rFonts w:ascii="Verdana" w:hAnsi="Verdana"/>
        </w:rPr>
      </w:pPr>
    </w:p>
    <w:p>
      <w:pPr>
        <w:widowControl/>
        <w:numPr>
          <w:ilvl w:val="0"/>
          <w:numId w:val="4"/>
        </w:numPr>
        <w:tabs>
          <w:tab w:val="left" w:pos="360"/>
          <w:tab w:val="left" w:pos="2340"/>
        </w:tabs>
        <w:autoSpaceDE/>
        <w:autoSpaceDN/>
        <w:adjustRightInd/>
        <w:ind w:right="-72"/>
        <w:jc w:val="both"/>
        <w:rPr>
          <w:rFonts w:ascii="Verdana" w:hAnsi="Verdana"/>
        </w:rPr>
      </w:pPr>
      <w:r>
        <w:rPr>
          <w:rFonts w:ascii="Verdana" w:hAnsi="Verdana"/>
        </w:rPr>
        <w:t>All correspondence with borrower.</w:t>
      </w:r>
    </w:p>
    <w:p>
      <w:pPr>
        <w:tabs>
          <w:tab w:val="left" w:pos="360"/>
          <w:tab w:val="left" w:pos="2340"/>
        </w:tabs>
        <w:ind w:right="-72"/>
        <w:jc w:val="both"/>
        <w:rPr>
          <w:rFonts w:ascii="Verdana" w:hAnsi="Verdana"/>
        </w:rPr>
      </w:pPr>
    </w:p>
    <w:p>
      <w:pPr>
        <w:widowControl/>
        <w:numPr>
          <w:ilvl w:val="0"/>
          <w:numId w:val="4"/>
        </w:numPr>
        <w:tabs>
          <w:tab w:val="left" w:pos="360"/>
          <w:tab w:val="left" w:pos="2340"/>
        </w:tabs>
        <w:autoSpaceDE/>
        <w:autoSpaceDN/>
        <w:adjustRightInd/>
        <w:ind w:right="-72"/>
        <w:jc w:val="both"/>
        <w:rPr>
          <w:rFonts w:ascii="Verdana" w:hAnsi="Verdana"/>
        </w:rPr>
      </w:pPr>
      <w:r>
        <w:rPr>
          <w:rFonts w:ascii="Verdana" w:hAnsi="Verdana"/>
        </w:rPr>
        <w:t xml:space="preserve">Entire loan file including borrower’s most recently submitted financials. </w:t>
      </w:r>
    </w:p>
    <w:p>
      <w:pPr>
        <w:widowControl/>
        <w:autoSpaceDE/>
        <w:autoSpaceDN/>
        <w:adjustRightInd/>
        <w:rPr>
          <w:rFonts w:ascii="Century Gothic" w:hAnsi="Century Gothic"/>
          <w:sz w:val="21"/>
          <w:szCs w:val="21"/>
          <w:u w:val="single"/>
        </w:rPr>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Century Gothic" w:hAnsi="Century Gothic"/>
        <w:sz w:val="16"/>
        <w:szCs w:val="16"/>
      </w:rPr>
    </w:pPr>
    <w:r>
      <w:rPr>
        <w:rStyle w:val="PageNumber"/>
        <w:rFonts w:ascii="Century Gothic" w:hAnsi="Century Gothic"/>
        <w:sz w:val="16"/>
        <w:szCs w:val="16"/>
      </w:rPr>
      <w:t xml:space="preserve">Page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PAGE </w:instrText>
    </w:r>
    <w:r>
      <w:rPr>
        <w:rStyle w:val="PageNumber"/>
        <w:rFonts w:ascii="Century Gothic" w:hAnsi="Century Gothic"/>
        <w:sz w:val="16"/>
        <w:szCs w:val="16"/>
      </w:rPr>
      <w:fldChar w:fldCharType="separate"/>
    </w:r>
    <w:r>
      <w:rPr>
        <w:rStyle w:val="PageNumber"/>
        <w:rFonts w:ascii="Century Gothic" w:hAnsi="Century Gothic"/>
        <w:noProof/>
        <w:sz w:val="16"/>
        <w:szCs w:val="16"/>
      </w:rPr>
      <w:t>1</w:t>
    </w:r>
    <w:r>
      <w:rPr>
        <w:rStyle w:val="PageNumber"/>
        <w:rFonts w:ascii="Century Gothic" w:hAnsi="Century Gothic"/>
        <w:sz w:val="16"/>
        <w:szCs w:val="16"/>
      </w:rPr>
      <w:fldChar w:fldCharType="end"/>
    </w:r>
    <w:r>
      <w:rPr>
        <w:rStyle w:val="PageNumber"/>
        <w:rFonts w:ascii="Century Gothic" w:hAnsi="Century Gothic"/>
        <w:sz w:val="16"/>
        <w:szCs w:val="16"/>
      </w:rPr>
      <w:t xml:space="preserve"> of </w:t>
    </w:r>
    <w:r>
      <w:rPr>
        <w:rStyle w:val="PageNumber"/>
        <w:rFonts w:ascii="Century Gothic" w:hAnsi="Century Gothic"/>
        <w:sz w:val="16"/>
        <w:szCs w:val="16"/>
      </w:rPr>
      <w:fldChar w:fldCharType="begin"/>
    </w:r>
    <w:r>
      <w:rPr>
        <w:rStyle w:val="PageNumber"/>
        <w:rFonts w:ascii="Century Gothic" w:hAnsi="Century Gothic"/>
        <w:sz w:val="16"/>
        <w:szCs w:val="16"/>
      </w:rPr>
      <w:instrText xml:space="preserve"> NUMPAGES </w:instrText>
    </w:r>
    <w:r>
      <w:rPr>
        <w:rStyle w:val="PageNumber"/>
        <w:rFonts w:ascii="Century Gothic" w:hAnsi="Century Gothic"/>
        <w:sz w:val="16"/>
        <w:szCs w:val="16"/>
      </w:rPr>
      <w:fldChar w:fldCharType="separate"/>
    </w:r>
    <w:r>
      <w:rPr>
        <w:rStyle w:val="PageNumber"/>
        <w:rFonts w:ascii="Century Gothic" w:hAnsi="Century Gothic"/>
        <w:noProof/>
        <w:sz w:val="16"/>
        <w:szCs w:val="16"/>
      </w:rPr>
      <w:t>4</w:t>
    </w:r>
    <w:r>
      <w:rPr>
        <w:rStyle w:val="PageNumber"/>
        <w:rFonts w:ascii="Century Gothic" w:hAnsi="Century Gothic"/>
        <w:sz w:val="16"/>
        <w:szCs w:val="16"/>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2" o:spid="_x0000_s2058" type="#_x0000_t136" style="position:absolute;margin-left:0;margin-top:0;width:600.35pt;height:100.0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3" o:spid="_x0000_s2059" type="#_x0000_t136" style="position:absolute;margin-left:0;margin-top:0;width:600.35pt;height:100.05pt;rotation:315;z-index:-251651072;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margin">
                <wp:posOffset>98425</wp:posOffset>
              </wp:positionH>
              <wp:positionV relativeFrom="page">
                <wp:posOffset>277937</wp:posOffset>
              </wp:positionV>
              <wp:extent cx="6062345" cy="1563370"/>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563370"/>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5pt;margin-top:21.9pt;width:477.35pt;height:12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">
              <v:textbox>
                <w:txbxContent>
                  <w:p>
                    <w:pPr>
                      <w:jc w:val="both"/>
                      <w:rPr>
                        <w:rFonts w:ascii="Century Gothic" w:hAnsi="Century Gothic"/>
                        <w:color w:val="FF0000"/>
                      </w:rPr>
                    </w:pPr>
                    <w:r>
                      <w:rPr>
                        <w:rFonts w:ascii="Century Gothic" w:hAnsi="Century Gothic"/>
                        <w:color w:val="FF0000"/>
                      </w:rPr>
                      <w:t>D</w:t>
                    </w:r>
                    <w:bookmarkStart w:id="1" w:name="_GoBack"/>
                    <w:r>
                      <w:rPr>
                        <w:rFonts w:ascii="Century Gothic" w:hAnsi="Century Gothic"/>
                        <w:color w:val="FF0000"/>
                      </w:rPr>
                      <w:t xml:space="preserve">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bookmarkEnd w:id="1"/>
                  <w:p/>
                </w:txbxContent>
              </v:textbox>
              <w10:wrap anchorx="margin" anchory="page"/>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65721" o:spid="_x0000_s2057" type="#_x0000_t136" style="position:absolute;margin-left:0;margin-top:0;width:600.35pt;height:100.0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0170"/>
    <w:multiLevelType w:val="hybridMultilevel"/>
    <w:tmpl w:val="BDD2C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E3770E"/>
    <w:multiLevelType w:val="hybridMultilevel"/>
    <w:tmpl w:val="36888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945562"/>
    <w:multiLevelType w:val="singleLevel"/>
    <w:tmpl w:val="9648E202"/>
    <w:lvl w:ilvl="0">
      <w:start w:val="1"/>
      <w:numFmt w:val="lowerLetter"/>
      <w:lvlText w:val="%1)"/>
      <w:legacy w:legacy="1" w:legacySpace="0" w:legacyIndent="360"/>
      <w:lvlJc w:val="left"/>
      <w:pPr>
        <w:ind w:left="360" w:hanging="360"/>
      </w:pPr>
    </w:lvl>
  </w:abstractNum>
  <w:abstractNum w:abstractNumId="3" w15:restartNumberingAfterBreak="0">
    <w:nsid w:val="7E316712"/>
    <w:multiLevelType w:val="singleLevel"/>
    <w:tmpl w:val="F82A141A"/>
    <w:lvl w:ilvl="0">
      <w:start w:val="10"/>
      <w:numFmt w:val="lowerLetter"/>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60"/>
    <o:shapelayout v:ext="edit">
      <o:idmap v:ext="edit" data="1"/>
    </o:shapelayout>
  </w:shapeDefaults>
  <w:decimalSymbol w:val="."/>
  <w:listSeparator w:val=","/>
  <w15:chartTrackingRefBased/>
  <w15:docId w15:val="{1DA1B8D8-D784-407C-824C-BAD88A3F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200" w:lineRule="auto"/>
      <w:jc w:val="center"/>
      <w:outlineLvl w:val="0"/>
    </w:pPr>
    <w:rPr>
      <w:rFonts w:ascii="CG Times" w:hAnsi="CG Times"/>
      <w:snapToGrid w:val="0"/>
      <w:sz w:val="24"/>
      <w:u w:val="single"/>
    </w:rPr>
  </w:style>
  <w:style w:type="paragraph" w:styleId="Heading2">
    <w:name w:val="heading 2"/>
    <w:basedOn w:val="Normal"/>
    <w:next w:val="Normal"/>
    <w:link w:val="Heading2Char"/>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nhideWhenUsed/>
    <w:pPr>
      <w:widowControl/>
      <w:autoSpaceDE/>
      <w:autoSpaceDN/>
      <w:adjustRightInd/>
      <w:spacing w:before="100" w:beforeAutospacing="1" w:after="100" w:afterAutospacing="1"/>
    </w:pPr>
    <w:rPr>
      <w:rFonts w:ascii="Times New Roman" w:hAnsi="Times New Roman"/>
      <w:color w:val="000000"/>
      <w:sz w:val="24"/>
    </w:rPr>
  </w:style>
  <w:style w:type="paragraph" w:styleId="Title">
    <w:name w:val="Title"/>
    <w:basedOn w:val="Normal"/>
    <w:link w:val="TitleChar"/>
    <w:qFormat/>
    <w:pPr>
      <w:widowControl/>
      <w:autoSpaceDE/>
      <w:autoSpaceDN/>
      <w:adjustRightInd/>
      <w:jc w:val="center"/>
    </w:pPr>
    <w:rPr>
      <w:rFonts w:ascii="Times New Roman" w:hAnsi="Times New Roman"/>
      <w:b/>
      <w:sz w:val="24"/>
      <w:szCs w:val="20"/>
    </w:rPr>
  </w:style>
  <w:style w:type="character" w:customStyle="1" w:styleId="TitleChar">
    <w:name w:val="Title Char"/>
    <w:link w:val="Title"/>
    <w:rPr>
      <w:b/>
      <w:sz w:val="24"/>
      <w:lang w:val="en-US" w:eastAsia="en-US" w:bidi="ar-SA"/>
    </w:rPr>
  </w:style>
  <w:style w:type="character" w:customStyle="1" w:styleId="Heading3Char">
    <w:name w:val="Heading 3 Char"/>
    <w:basedOn w:val="DefaultParagraphFont"/>
    <w:link w:val="Heading3"/>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pPr>
      <w:widowControl/>
      <w:tabs>
        <w:tab w:val="left" w:pos="360"/>
        <w:tab w:val="left" w:pos="2340"/>
      </w:tabs>
      <w:autoSpaceDE/>
      <w:autoSpaceDN/>
      <w:adjustRightInd/>
      <w:ind w:right="-72"/>
      <w:jc w:val="both"/>
    </w:pPr>
    <w:rPr>
      <w:rFonts w:ascii="Times New Roman" w:hAnsi="Times New Roman"/>
      <w:sz w:val="22"/>
      <w:szCs w:val="20"/>
    </w:rPr>
  </w:style>
  <w:style w:type="character" w:customStyle="1" w:styleId="BodyTextChar">
    <w:name w:val="Body Text Char"/>
    <w:basedOn w:val="DefaultParagraphFont"/>
    <w:link w:val="BodyText"/>
    <w:rPr>
      <w:sz w:val="22"/>
    </w:rPr>
  </w:style>
  <w:style w:type="paragraph" w:styleId="BodyText2">
    <w:name w:val="Body Text 2"/>
    <w:basedOn w:val="Normal"/>
    <w:link w:val="BodyText2Char"/>
    <w:pPr>
      <w:widowControl/>
      <w:autoSpaceDE/>
      <w:autoSpaceDN/>
      <w:adjustRightInd/>
      <w:ind w:right="-432"/>
      <w:jc w:val="both"/>
    </w:pPr>
    <w:rPr>
      <w:rFonts w:ascii="Times New Roman" w:hAnsi="Times New Roman"/>
      <w:sz w:val="22"/>
      <w:szCs w:val="20"/>
    </w:rPr>
  </w:style>
  <w:style w:type="character" w:customStyle="1" w:styleId="BodyText2Char">
    <w:name w:val="Body Text 2 Char"/>
    <w:basedOn w:val="DefaultParagraphFont"/>
    <w:link w:val="BodyText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LIMITED WARRANTY DEED</vt:lpstr>
    </vt:vector>
  </TitlesOfParts>
  <Company>Toshiba</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WARRANTY DEED</dc:title>
  <dc:subject/>
  <dc:creator>www.WendtCRS.com</dc:creator>
  <cp:keywords/>
  <dc:description/>
  <cp:lastModifiedBy>Atlanta</cp:lastModifiedBy>
  <cp:revision>5</cp:revision>
  <dcterms:created xsi:type="dcterms:W3CDTF">2016-11-21T02:15:00Z</dcterms:created>
  <dcterms:modified xsi:type="dcterms:W3CDTF">2016-11-21T17:20:00Z</dcterms:modified>
</cp:coreProperties>
</file>